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289" w:rsidRPr="001121FD" w:rsidRDefault="004325EA" w:rsidP="00EC02D0">
      <w:pPr>
        <w:pStyle w:val="Title"/>
        <w:jc w:val="left"/>
        <w:rPr>
          <w:highlight w:val="yellow"/>
        </w:rPr>
      </w:pPr>
      <w:bookmarkStart w:id="0" w:name="_Toc338749318"/>
      <w:bookmarkStart w:id="1" w:name="_Toc338749362"/>
      <w:bookmarkStart w:id="2" w:name="_Toc338749487"/>
      <w:bookmarkStart w:id="3" w:name="_Toc338757189"/>
      <w:bookmarkStart w:id="4" w:name="_Toc396923873"/>
      <w:bookmarkStart w:id="5" w:name="_Toc397524967"/>
      <w:bookmarkStart w:id="6" w:name="_Toc399323805"/>
      <w:bookmarkStart w:id="7" w:name="_Toc399326957"/>
      <w:bookmarkStart w:id="8" w:name="_Toc408311107"/>
      <w:bookmarkStart w:id="9" w:name="_Toc408311134"/>
      <w:bookmarkStart w:id="10" w:name="_Toc279045493"/>
      <w:bookmarkStart w:id="11" w:name="_Toc295899466"/>
      <w:bookmarkStart w:id="12" w:name="_GoBack"/>
      <w:bookmarkEnd w:id="12"/>
      <w:r w:rsidRPr="001121FD">
        <w:rPr>
          <w:noProof/>
          <w:lang w:eastAsia="en-AU"/>
        </w:rPr>
        <w:drawing>
          <wp:anchor distT="0" distB="0" distL="114300" distR="114300" simplePos="0" relativeHeight="251657216" behindDoc="1" locked="0" layoutInCell="1" allowOverlap="1" wp14:anchorId="4E2FC0CC" wp14:editId="190430D2">
            <wp:simplePos x="0" y="0"/>
            <wp:positionH relativeFrom="column">
              <wp:posOffset>-1247775</wp:posOffset>
            </wp:positionH>
            <wp:positionV relativeFrom="paragraph">
              <wp:posOffset>-954405</wp:posOffset>
            </wp:positionV>
            <wp:extent cx="8029575" cy="3562350"/>
            <wp:effectExtent l="0" t="0" r="9525" b="0"/>
            <wp:wrapNone/>
            <wp:docPr id="4" name="Picture 2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iggins-Miller_report-cove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29575" cy="3562350"/>
                    </a:xfrm>
                    <a:prstGeom prst="rect">
                      <a:avLst/>
                    </a:prstGeom>
                    <a:noFill/>
                  </pic:spPr>
                </pic:pic>
              </a:graphicData>
            </a:graphic>
            <wp14:sizeRelH relativeFrom="page">
              <wp14:pctWidth>0</wp14:pctWidth>
            </wp14:sizeRelH>
            <wp14:sizeRelV relativeFrom="page">
              <wp14:pctHeight>0</wp14:pctHeight>
            </wp14:sizeRelV>
          </wp:anchor>
        </w:drawing>
      </w:r>
      <w:r w:rsidR="00BE4289" w:rsidRPr="001121FD">
        <w:t>Consultancy services to inform the development of a Post Implementation Review of the tobacco</w:t>
      </w:r>
      <w:r w:rsidR="00416DF1" w:rsidRPr="001121FD">
        <w:t xml:space="preserve"> plain packaging </w:t>
      </w:r>
      <w:r w:rsidR="00BE4289" w:rsidRPr="001121FD">
        <w:t>measure</w:t>
      </w:r>
    </w:p>
    <w:p w:rsidR="00AD6519" w:rsidRPr="00E1532E" w:rsidRDefault="001121FD" w:rsidP="00E1532E">
      <w:pPr>
        <w:pStyle w:val="Subtitle"/>
        <w:rPr>
          <w:highlight w:val="yellow"/>
        </w:rPr>
      </w:pPr>
      <w:r w:rsidRPr="00E1532E">
        <w:t>Stakeholder Consultation Report</w:t>
      </w:r>
    </w:p>
    <w:p w:rsidR="00042398" w:rsidRDefault="001121FD" w:rsidP="00042398">
      <w:pPr>
        <w:pStyle w:val="Subtitle"/>
      </w:pPr>
      <w:r w:rsidRPr="00E1532E">
        <w:t>September, 2015</w:t>
      </w:r>
    </w:p>
    <w:p w:rsidR="00042398" w:rsidRPr="00042398" w:rsidRDefault="00E1532E" w:rsidP="00042398">
      <w:pPr>
        <w:jc w:val="right"/>
      </w:pPr>
      <w:r w:rsidRPr="00FE3217">
        <w:rPr>
          <w:noProof/>
          <w:lang w:eastAsia="en-AU"/>
        </w:rPr>
        <w:drawing>
          <wp:inline distT="0" distB="0" distL="0" distR="0" wp14:anchorId="50D1B28B" wp14:editId="17BB5890">
            <wp:extent cx="1915200" cy="583200"/>
            <wp:effectExtent l="0" t="0" r="0" b="7620"/>
            <wp:docPr id="3" name="Picture 21" descr="Siggins Mill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escription: SM_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5200" cy="583200"/>
                    </a:xfrm>
                    <a:prstGeom prst="rect">
                      <a:avLst/>
                    </a:prstGeom>
                    <a:noFill/>
                    <a:ln>
                      <a:noFill/>
                    </a:ln>
                  </pic:spPr>
                </pic:pic>
              </a:graphicData>
            </a:graphic>
          </wp:inline>
        </w:drawing>
      </w:r>
      <w:r w:rsidR="00BE4289" w:rsidRPr="00C8291A">
        <w:rPr>
          <w:highlight w:val="yellow"/>
          <w:lang w:eastAsia="en-AU"/>
        </w:rPr>
        <w:br w:type="page"/>
      </w:r>
      <w:bookmarkStart w:id="13" w:name="_Toc408992361"/>
      <w:bookmarkStart w:id="14" w:name="_Toc397524965"/>
      <w:bookmarkStart w:id="15" w:name="_Toc396923871"/>
    </w:p>
    <w:bookmarkEnd w:id="13"/>
    <w:bookmarkEnd w:id="14"/>
    <w:bookmarkEnd w:id="15"/>
    <w:p w:rsidR="007E6EDE" w:rsidRPr="00043B7C" w:rsidRDefault="007E6EDE" w:rsidP="005E3933">
      <w:pPr>
        <w:pStyle w:val="TOCHeading"/>
        <w:rPr>
          <w:color w:val="C00000"/>
        </w:rPr>
      </w:pPr>
      <w:r w:rsidRPr="00043B7C">
        <w:rPr>
          <w:color w:val="C00000"/>
        </w:rPr>
        <w:lastRenderedPageBreak/>
        <w:t>Table of contents</w:t>
      </w:r>
    </w:p>
    <w:p w:rsidR="00E03140" w:rsidRDefault="00EC02D0">
      <w:pPr>
        <w:pStyle w:val="TOC1"/>
        <w:rPr>
          <w:rFonts w:asciiTheme="minorHAnsi" w:eastAsiaTheme="minorEastAsia" w:hAnsiTheme="minorHAnsi" w:cstheme="minorBidi"/>
          <w:bCs w:val="0"/>
          <w:noProof/>
          <w:sz w:val="22"/>
          <w:szCs w:val="22"/>
          <w:lang w:eastAsia="en-AU"/>
        </w:rPr>
      </w:pPr>
      <w:r>
        <w:rPr>
          <w:bCs w:val="0"/>
        </w:rPr>
        <w:fldChar w:fldCharType="begin"/>
      </w:r>
      <w:r>
        <w:rPr>
          <w:bCs w:val="0"/>
        </w:rPr>
        <w:instrText xml:space="preserve"> TOC \o "1-2" \h \z \u </w:instrText>
      </w:r>
      <w:r>
        <w:rPr>
          <w:bCs w:val="0"/>
        </w:rPr>
        <w:fldChar w:fldCharType="separate"/>
      </w:r>
      <w:hyperlink w:anchor="_Toc444007942" w:history="1">
        <w:r w:rsidR="00E03140" w:rsidRPr="003939CA">
          <w:rPr>
            <w:rStyle w:val="Hyperlink"/>
            <w:noProof/>
          </w:rPr>
          <w:t>Glossary</w:t>
        </w:r>
        <w:r w:rsidR="00E03140">
          <w:rPr>
            <w:noProof/>
            <w:webHidden/>
          </w:rPr>
          <w:tab/>
        </w:r>
        <w:r w:rsidR="00E03140">
          <w:rPr>
            <w:noProof/>
            <w:webHidden/>
          </w:rPr>
          <w:fldChar w:fldCharType="begin"/>
        </w:r>
        <w:r w:rsidR="00E03140">
          <w:rPr>
            <w:noProof/>
            <w:webHidden/>
          </w:rPr>
          <w:instrText xml:space="preserve"> PAGEREF _Toc444007942 \h </w:instrText>
        </w:r>
        <w:r w:rsidR="00E03140">
          <w:rPr>
            <w:noProof/>
            <w:webHidden/>
          </w:rPr>
        </w:r>
        <w:r w:rsidR="00E03140">
          <w:rPr>
            <w:noProof/>
            <w:webHidden/>
          </w:rPr>
          <w:fldChar w:fldCharType="separate"/>
        </w:r>
        <w:r w:rsidR="001A113A">
          <w:rPr>
            <w:noProof/>
            <w:webHidden/>
          </w:rPr>
          <w:t>iii</w:t>
        </w:r>
        <w:r w:rsidR="00E03140">
          <w:rPr>
            <w:noProof/>
            <w:webHidden/>
          </w:rPr>
          <w:fldChar w:fldCharType="end"/>
        </w:r>
      </w:hyperlink>
    </w:p>
    <w:p w:rsidR="00E03140" w:rsidRDefault="00CE36BA">
      <w:pPr>
        <w:pStyle w:val="TOC1"/>
        <w:rPr>
          <w:rFonts w:asciiTheme="minorHAnsi" w:eastAsiaTheme="minorEastAsia" w:hAnsiTheme="minorHAnsi" w:cstheme="minorBidi"/>
          <w:bCs w:val="0"/>
          <w:noProof/>
          <w:sz w:val="22"/>
          <w:szCs w:val="22"/>
          <w:lang w:eastAsia="en-AU"/>
        </w:rPr>
      </w:pPr>
      <w:hyperlink w:anchor="_Toc444007943" w:history="1">
        <w:r w:rsidR="00E03140" w:rsidRPr="003939CA">
          <w:rPr>
            <w:rStyle w:val="Hyperlink"/>
            <w:noProof/>
          </w:rPr>
          <w:t>Introduction</w:t>
        </w:r>
        <w:r w:rsidR="00E03140">
          <w:rPr>
            <w:noProof/>
            <w:webHidden/>
          </w:rPr>
          <w:tab/>
        </w:r>
        <w:r w:rsidR="00E03140">
          <w:rPr>
            <w:noProof/>
            <w:webHidden/>
          </w:rPr>
          <w:fldChar w:fldCharType="begin"/>
        </w:r>
        <w:r w:rsidR="00E03140">
          <w:rPr>
            <w:noProof/>
            <w:webHidden/>
          </w:rPr>
          <w:instrText xml:space="preserve"> PAGEREF _Toc444007943 \h </w:instrText>
        </w:r>
        <w:r w:rsidR="00E03140">
          <w:rPr>
            <w:noProof/>
            <w:webHidden/>
          </w:rPr>
        </w:r>
        <w:r w:rsidR="00E03140">
          <w:rPr>
            <w:noProof/>
            <w:webHidden/>
          </w:rPr>
          <w:fldChar w:fldCharType="separate"/>
        </w:r>
        <w:r w:rsidR="001A113A">
          <w:rPr>
            <w:noProof/>
            <w:webHidden/>
          </w:rPr>
          <w:t>v</w:t>
        </w:r>
        <w:r w:rsidR="00E03140">
          <w:rPr>
            <w:noProof/>
            <w:webHidden/>
          </w:rPr>
          <w:fldChar w:fldCharType="end"/>
        </w:r>
      </w:hyperlink>
    </w:p>
    <w:p w:rsidR="00E03140" w:rsidRDefault="00CE36BA">
      <w:pPr>
        <w:pStyle w:val="TOC1"/>
        <w:rPr>
          <w:rFonts w:asciiTheme="minorHAnsi" w:eastAsiaTheme="minorEastAsia" w:hAnsiTheme="minorHAnsi" w:cstheme="minorBidi"/>
          <w:bCs w:val="0"/>
          <w:noProof/>
          <w:sz w:val="22"/>
          <w:szCs w:val="22"/>
          <w:lang w:eastAsia="en-AU"/>
        </w:rPr>
      </w:pPr>
      <w:hyperlink w:anchor="_Toc444007944" w:history="1">
        <w:r w:rsidR="00E03140" w:rsidRPr="003939CA">
          <w:rPr>
            <w:rStyle w:val="Hyperlink"/>
            <w:noProof/>
          </w:rPr>
          <w:t>Main messages</w:t>
        </w:r>
        <w:r w:rsidR="00E03140">
          <w:rPr>
            <w:noProof/>
            <w:webHidden/>
          </w:rPr>
          <w:tab/>
        </w:r>
        <w:r w:rsidR="00E03140">
          <w:rPr>
            <w:noProof/>
            <w:webHidden/>
          </w:rPr>
          <w:fldChar w:fldCharType="begin"/>
        </w:r>
        <w:r w:rsidR="00E03140">
          <w:rPr>
            <w:noProof/>
            <w:webHidden/>
          </w:rPr>
          <w:instrText xml:space="preserve"> PAGEREF _Toc444007944 \h </w:instrText>
        </w:r>
        <w:r w:rsidR="00E03140">
          <w:rPr>
            <w:noProof/>
            <w:webHidden/>
          </w:rPr>
        </w:r>
        <w:r w:rsidR="00E03140">
          <w:rPr>
            <w:noProof/>
            <w:webHidden/>
          </w:rPr>
          <w:fldChar w:fldCharType="separate"/>
        </w:r>
        <w:r w:rsidR="001A113A">
          <w:rPr>
            <w:noProof/>
            <w:webHidden/>
          </w:rPr>
          <w:t>v</w:t>
        </w:r>
        <w:r w:rsidR="00E03140">
          <w:rPr>
            <w:noProof/>
            <w:webHidden/>
          </w:rPr>
          <w:fldChar w:fldCharType="end"/>
        </w:r>
      </w:hyperlink>
    </w:p>
    <w:p w:rsidR="00E03140" w:rsidRDefault="00CE36BA">
      <w:pPr>
        <w:pStyle w:val="TOC1"/>
        <w:rPr>
          <w:rFonts w:asciiTheme="minorHAnsi" w:eastAsiaTheme="minorEastAsia" w:hAnsiTheme="minorHAnsi" w:cstheme="minorBidi"/>
          <w:bCs w:val="0"/>
          <w:noProof/>
          <w:sz w:val="22"/>
          <w:szCs w:val="22"/>
          <w:lang w:eastAsia="en-AU"/>
        </w:rPr>
      </w:pPr>
      <w:hyperlink w:anchor="_Toc444007945" w:history="1">
        <w:r w:rsidR="00E03140" w:rsidRPr="003939CA">
          <w:rPr>
            <w:rStyle w:val="Hyperlink"/>
            <w:noProof/>
          </w:rPr>
          <w:t>Section 1: Introduction</w:t>
        </w:r>
        <w:r w:rsidR="00E03140">
          <w:rPr>
            <w:noProof/>
            <w:webHidden/>
          </w:rPr>
          <w:tab/>
        </w:r>
        <w:r w:rsidR="00E03140">
          <w:rPr>
            <w:noProof/>
            <w:webHidden/>
          </w:rPr>
          <w:fldChar w:fldCharType="begin"/>
        </w:r>
        <w:r w:rsidR="00E03140">
          <w:rPr>
            <w:noProof/>
            <w:webHidden/>
          </w:rPr>
          <w:instrText xml:space="preserve"> PAGEREF _Toc444007945 \h </w:instrText>
        </w:r>
        <w:r w:rsidR="00E03140">
          <w:rPr>
            <w:noProof/>
            <w:webHidden/>
          </w:rPr>
        </w:r>
        <w:r w:rsidR="00E03140">
          <w:rPr>
            <w:noProof/>
            <w:webHidden/>
          </w:rPr>
          <w:fldChar w:fldCharType="separate"/>
        </w:r>
        <w:r w:rsidR="001A113A">
          <w:rPr>
            <w:noProof/>
            <w:webHidden/>
          </w:rPr>
          <w:t>1</w:t>
        </w:r>
        <w:r w:rsidR="00E03140">
          <w:rPr>
            <w:noProof/>
            <w:webHidden/>
          </w:rPr>
          <w:fldChar w:fldCharType="end"/>
        </w:r>
      </w:hyperlink>
    </w:p>
    <w:p w:rsidR="00E03140" w:rsidRDefault="00CE36BA">
      <w:pPr>
        <w:pStyle w:val="TOC2"/>
        <w:tabs>
          <w:tab w:val="left" w:pos="960"/>
        </w:tabs>
        <w:rPr>
          <w:rFonts w:asciiTheme="minorHAnsi" w:eastAsiaTheme="minorEastAsia" w:hAnsiTheme="minorHAnsi" w:cstheme="minorBidi"/>
          <w:noProof/>
          <w:sz w:val="22"/>
          <w:szCs w:val="22"/>
          <w:lang w:eastAsia="en-AU"/>
        </w:rPr>
      </w:pPr>
      <w:hyperlink w:anchor="_Toc444007946" w:history="1">
        <w:r w:rsidR="00E03140" w:rsidRPr="003939CA">
          <w:rPr>
            <w:rStyle w:val="Hyperlink"/>
            <w:noProof/>
          </w:rPr>
          <w:t>1.1</w:t>
        </w:r>
        <w:r w:rsidR="00E03140">
          <w:rPr>
            <w:rFonts w:asciiTheme="minorHAnsi" w:eastAsiaTheme="minorEastAsia" w:hAnsiTheme="minorHAnsi" w:cstheme="minorBidi"/>
            <w:noProof/>
            <w:sz w:val="22"/>
            <w:szCs w:val="22"/>
            <w:lang w:eastAsia="en-AU"/>
          </w:rPr>
          <w:tab/>
        </w:r>
        <w:r w:rsidR="00E03140" w:rsidRPr="003939CA">
          <w:rPr>
            <w:rStyle w:val="Hyperlink"/>
            <w:noProof/>
          </w:rPr>
          <w:t>Purpose of stakeholder consultation</w:t>
        </w:r>
        <w:r w:rsidR="00E03140">
          <w:rPr>
            <w:noProof/>
            <w:webHidden/>
          </w:rPr>
          <w:tab/>
        </w:r>
        <w:r w:rsidR="00E03140">
          <w:rPr>
            <w:noProof/>
            <w:webHidden/>
          </w:rPr>
          <w:fldChar w:fldCharType="begin"/>
        </w:r>
        <w:r w:rsidR="00E03140">
          <w:rPr>
            <w:noProof/>
            <w:webHidden/>
          </w:rPr>
          <w:instrText xml:space="preserve"> PAGEREF _Toc444007946 \h </w:instrText>
        </w:r>
        <w:r w:rsidR="00E03140">
          <w:rPr>
            <w:noProof/>
            <w:webHidden/>
          </w:rPr>
        </w:r>
        <w:r w:rsidR="00E03140">
          <w:rPr>
            <w:noProof/>
            <w:webHidden/>
          </w:rPr>
          <w:fldChar w:fldCharType="separate"/>
        </w:r>
        <w:r w:rsidR="001A113A">
          <w:rPr>
            <w:noProof/>
            <w:webHidden/>
          </w:rPr>
          <w:t>1</w:t>
        </w:r>
        <w:r w:rsidR="00E03140">
          <w:rPr>
            <w:noProof/>
            <w:webHidden/>
          </w:rPr>
          <w:fldChar w:fldCharType="end"/>
        </w:r>
      </w:hyperlink>
    </w:p>
    <w:p w:rsidR="00E03140" w:rsidRDefault="00CE36BA">
      <w:pPr>
        <w:pStyle w:val="TOC2"/>
        <w:tabs>
          <w:tab w:val="left" w:pos="960"/>
        </w:tabs>
        <w:rPr>
          <w:rFonts w:asciiTheme="minorHAnsi" w:eastAsiaTheme="minorEastAsia" w:hAnsiTheme="minorHAnsi" w:cstheme="minorBidi"/>
          <w:noProof/>
          <w:sz w:val="22"/>
          <w:szCs w:val="22"/>
          <w:lang w:eastAsia="en-AU"/>
        </w:rPr>
      </w:pPr>
      <w:hyperlink w:anchor="_Toc444007947" w:history="1">
        <w:r w:rsidR="00E03140" w:rsidRPr="003939CA">
          <w:rPr>
            <w:rStyle w:val="Hyperlink"/>
            <w:noProof/>
          </w:rPr>
          <w:t>1.2</w:t>
        </w:r>
        <w:r w:rsidR="00E03140">
          <w:rPr>
            <w:rFonts w:asciiTheme="minorHAnsi" w:eastAsiaTheme="minorEastAsia" w:hAnsiTheme="minorHAnsi" w:cstheme="minorBidi"/>
            <w:noProof/>
            <w:sz w:val="22"/>
            <w:szCs w:val="22"/>
            <w:lang w:eastAsia="en-AU"/>
          </w:rPr>
          <w:tab/>
        </w:r>
        <w:r w:rsidR="00E03140" w:rsidRPr="003939CA">
          <w:rPr>
            <w:rStyle w:val="Hyperlink"/>
            <w:noProof/>
          </w:rPr>
          <w:t>Consultation timeframes and methods</w:t>
        </w:r>
        <w:r w:rsidR="00E03140">
          <w:rPr>
            <w:noProof/>
            <w:webHidden/>
          </w:rPr>
          <w:tab/>
        </w:r>
        <w:r w:rsidR="00E03140">
          <w:rPr>
            <w:noProof/>
            <w:webHidden/>
          </w:rPr>
          <w:fldChar w:fldCharType="begin"/>
        </w:r>
        <w:r w:rsidR="00E03140">
          <w:rPr>
            <w:noProof/>
            <w:webHidden/>
          </w:rPr>
          <w:instrText xml:space="preserve"> PAGEREF _Toc444007947 \h </w:instrText>
        </w:r>
        <w:r w:rsidR="00E03140">
          <w:rPr>
            <w:noProof/>
            <w:webHidden/>
          </w:rPr>
        </w:r>
        <w:r w:rsidR="00E03140">
          <w:rPr>
            <w:noProof/>
            <w:webHidden/>
          </w:rPr>
          <w:fldChar w:fldCharType="separate"/>
        </w:r>
        <w:r w:rsidR="001A113A">
          <w:rPr>
            <w:noProof/>
            <w:webHidden/>
          </w:rPr>
          <w:t>1</w:t>
        </w:r>
        <w:r w:rsidR="00E03140">
          <w:rPr>
            <w:noProof/>
            <w:webHidden/>
          </w:rPr>
          <w:fldChar w:fldCharType="end"/>
        </w:r>
      </w:hyperlink>
    </w:p>
    <w:p w:rsidR="00E03140" w:rsidRDefault="00CE36BA">
      <w:pPr>
        <w:pStyle w:val="TOC2"/>
        <w:tabs>
          <w:tab w:val="left" w:pos="960"/>
        </w:tabs>
        <w:rPr>
          <w:rFonts w:asciiTheme="minorHAnsi" w:eastAsiaTheme="minorEastAsia" w:hAnsiTheme="minorHAnsi" w:cstheme="minorBidi"/>
          <w:noProof/>
          <w:sz w:val="22"/>
          <w:szCs w:val="22"/>
          <w:lang w:eastAsia="en-AU"/>
        </w:rPr>
      </w:pPr>
      <w:hyperlink w:anchor="_Toc444007948" w:history="1">
        <w:r w:rsidR="00E03140" w:rsidRPr="003939CA">
          <w:rPr>
            <w:rStyle w:val="Hyperlink"/>
            <w:noProof/>
          </w:rPr>
          <w:t>1.3</w:t>
        </w:r>
        <w:r w:rsidR="00E03140">
          <w:rPr>
            <w:rFonts w:asciiTheme="minorHAnsi" w:eastAsiaTheme="minorEastAsia" w:hAnsiTheme="minorHAnsi" w:cstheme="minorBidi"/>
            <w:noProof/>
            <w:sz w:val="22"/>
            <w:szCs w:val="22"/>
            <w:lang w:eastAsia="en-AU"/>
          </w:rPr>
          <w:tab/>
        </w:r>
        <w:r w:rsidR="00E03140" w:rsidRPr="003939CA">
          <w:rPr>
            <w:rStyle w:val="Hyperlink"/>
            <w:noProof/>
          </w:rPr>
          <w:t>Consultation protocol and costing survey</w:t>
        </w:r>
        <w:r w:rsidR="00E03140">
          <w:rPr>
            <w:noProof/>
            <w:webHidden/>
          </w:rPr>
          <w:tab/>
        </w:r>
        <w:r w:rsidR="00E03140">
          <w:rPr>
            <w:noProof/>
            <w:webHidden/>
          </w:rPr>
          <w:fldChar w:fldCharType="begin"/>
        </w:r>
        <w:r w:rsidR="00E03140">
          <w:rPr>
            <w:noProof/>
            <w:webHidden/>
          </w:rPr>
          <w:instrText xml:space="preserve"> PAGEREF _Toc444007948 \h </w:instrText>
        </w:r>
        <w:r w:rsidR="00E03140">
          <w:rPr>
            <w:noProof/>
            <w:webHidden/>
          </w:rPr>
        </w:r>
        <w:r w:rsidR="00E03140">
          <w:rPr>
            <w:noProof/>
            <w:webHidden/>
          </w:rPr>
          <w:fldChar w:fldCharType="separate"/>
        </w:r>
        <w:r w:rsidR="001A113A">
          <w:rPr>
            <w:noProof/>
            <w:webHidden/>
          </w:rPr>
          <w:t>1</w:t>
        </w:r>
        <w:r w:rsidR="00E03140">
          <w:rPr>
            <w:noProof/>
            <w:webHidden/>
          </w:rPr>
          <w:fldChar w:fldCharType="end"/>
        </w:r>
      </w:hyperlink>
    </w:p>
    <w:p w:rsidR="00E03140" w:rsidRDefault="00CE36BA">
      <w:pPr>
        <w:pStyle w:val="TOC2"/>
        <w:tabs>
          <w:tab w:val="left" w:pos="960"/>
        </w:tabs>
        <w:rPr>
          <w:rFonts w:asciiTheme="minorHAnsi" w:eastAsiaTheme="minorEastAsia" w:hAnsiTheme="minorHAnsi" w:cstheme="minorBidi"/>
          <w:noProof/>
          <w:sz w:val="22"/>
          <w:szCs w:val="22"/>
          <w:lang w:eastAsia="en-AU"/>
        </w:rPr>
      </w:pPr>
      <w:hyperlink w:anchor="_Toc444007949" w:history="1">
        <w:r w:rsidR="00E03140" w:rsidRPr="003939CA">
          <w:rPr>
            <w:rStyle w:val="Hyperlink"/>
            <w:noProof/>
          </w:rPr>
          <w:t>1.4</w:t>
        </w:r>
        <w:r w:rsidR="00E03140">
          <w:rPr>
            <w:rFonts w:asciiTheme="minorHAnsi" w:eastAsiaTheme="minorEastAsia" w:hAnsiTheme="minorHAnsi" w:cstheme="minorBidi"/>
            <w:noProof/>
            <w:sz w:val="22"/>
            <w:szCs w:val="22"/>
            <w:lang w:eastAsia="en-AU"/>
          </w:rPr>
          <w:tab/>
        </w:r>
        <w:r w:rsidR="00E03140" w:rsidRPr="003939CA">
          <w:rPr>
            <w:rStyle w:val="Hyperlink"/>
            <w:noProof/>
          </w:rPr>
          <w:t>Feedback on the consultation process</w:t>
        </w:r>
        <w:r w:rsidR="00E03140">
          <w:rPr>
            <w:noProof/>
            <w:webHidden/>
          </w:rPr>
          <w:tab/>
        </w:r>
        <w:r w:rsidR="00E03140">
          <w:rPr>
            <w:noProof/>
            <w:webHidden/>
          </w:rPr>
          <w:fldChar w:fldCharType="begin"/>
        </w:r>
        <w:r w:rsidR="00E03140">
          <w:rPr>
            <w:noProof/>
            <w:webHidden/>
          </w:rPr>
          <w:instrText xml:space="preserve"> PAGEREF _Toc444007949 \h </w:instrText>
        </w:r>
        <w:r w:rsidR="00E03140">
          <w:rPr>
            <w:noProof/>
            <w:webHidden/>
          </w:rPr>
        </w:r>
        <w:r w:rsidR="00E03140">
          <w:rPr>
            <w:noProof/>
            <w:webHidden/>
          </w:rPr>
          <w:fldChar w:fldCharType="separate"/>
        </w:r>
        <w:r w:rsidR="001A113A">
          <w:rPr>
            <w:noProof/>
            <w:webHidden/>
          </w:rPr>
          <w:t>3</w:t>
        </w:r>
        <w:r w:rsidR="00E03140">
          <w:rPr>
            <w:noProof/>
            <w:webHidden/>
          </w:rPr>
          <w:fldChar w:fldCharType="end"/>
        </w:r>
      </w:hyperlink>
    </w:p>
    <w:p w:rsidR="00E03140" w:rsidRDefault="00CE36BA">
      <w:pPr>
        <w:pStyle w:val="TOC2"/>
        <w:tabs>
          <w:tab w:val="left" w:pos="960"/>
        </w:tabs>
        <w:rPr>
          <w:rFonts w:asciiTheme="minorHAnsi" w:eastAsiaTheme="minorEastAsia" w:hAnsiTheme="minorHAnsi" w:cstheme="minorBidi"/>
          <w:noProof/>
          <w:sz w:val="22"/>
          <w:szCs w:val="22"/>
          <w:lang w:eastAsia="en-AU"/>
        </w:rPr>
      </w:pPr>
      <w:hyperlink w:anchor="_Toc444007950" w:history="1">
        <w:r w:rsidR="00E03140" w:rsidRPr="003939CA">
          <w:rPr>
            <w:rStyle w:val="Hyperlink"/>
            <w:noProof/>
          </w:rPr>
          <w:t>1.5</w:t>
        </w:r>
        <w:r w:rsidR="00E03140">
          <w:rPr>
            <w:rFonts w:asciiTheme="minorHAnsi" w:eastAsiaTheme="minorEastAsia" w:hAnsiTheme="minorHAnsi" w:cstheme="minorBidi"/>
            <w:noProof/>
            <w:sz w:val="22"/>
            <w:szCs w:val="22"/>
            <w:lang w:eastAsia="en-AU"/>
          </w:rPr>
          <w:tab/>
        </w:r>
        <w:r w:rsidR="00E03140" w:rsidRPr="003939CA">
          <w:rPr>
            <w:rStyle w:val="Hyperlink"/>
            <w:noProof/>
          </w:rPr>
          <w:t>Analysis</w:t>
        </w:r>
        <w:r w:rsidR="00E03140">
          <w:rPr>
            <w:noProof/>
            <w:webHidden/>
          </w:rPr>
          <w:tab/>
        </w:r>
        <w:r w:rsidR="00E03140">
          <w:rPr>
            <w:noProof/>
            <w:webHidden/>
          </w:rPr>
          <w:fldChar w:fldCharType="begin"/>
        </w:r>
        <w:r w:rsidR="00E03140">
          <w:rPr>
            <w:noProof/>
            <w:webHidden/>
          </w:rPr>
          <w:instrText xml:space="preserve"> PAGEREF _Toc444007950 \h </w:instrText>
        </w:r>
        <w:r w:rsidR="00E03140">
          <w:rPr>
            <w:noProof/>
            <w:webHidden/>
          </w:rPr>
        </w:r>
        <w:r w:rsidR="00E03140">
          <w:rPr>
            <w:noProof/>
            <w:webHidden/>
          </w:rPr>
          <w:fldChar w:fldCharType="separate"/>
        </w:r>
        <w:r w:rsidR="001A113A">
          <w:rPr>
            <w:noProof/>
            <w:webHidden/>
          </w:rPr>
          <w:t>6</w:t>
        </w:r>
        <w:r w:rsidR="00E03140">
          <w:rPr>
            <w:noProof/>
            <w:webHidden/>
          </w:rPr>
          <w:fldChar w:fldCharType="end"/>
        </w:r>
      </w:hyperlink>
    </w:p>
    <w:p w:rsidR="00E03140" w:rsidRDefault="00CE36BA">
      <w:pPr>
        <w:pStyle w:val="TOC1"/>
        <w:rPr>
          <w:rFonts w:asciiTheme="minorHAnsi" w:eastAsiaTheme="minorEastAsia" w:hAnsiTheme="minorHAnsi" w:cstheme="minorBidi"/>
          <w:bCs w:val="0"/>
          <w:noProof/>
          <w:sz w:val="22"/>
          <w:szCs w:val="22"/>
          <w:lang w:eastAsia="en-AU"/>
        </w:rPr>
      </w:pPr>
      <w:hyperlink w:anchor="_Toc444007951" w:history="1">
        <w:r w:rsidR="00E03140" w:rsidRPr="003939CA">
          <w:rPr>
            <w:rStyle w:val="Hyperlink"/>
            <w:noProof/>
          </w:rPr>
          <w:t>Section 2: Stakeholder perceptions of the tobacco plain packaging measure</w:t>
        </w:r>
        <w:r w:rsidR="00E03140">
          <w:rPr>
            <w:noProof/>
            <w:webHidden/>
          </w:rPr>
          <w:tab/>
        </w:r>
        <w:r w:rsidR="00E03140">
          <w:rPr>
            <w:noProof/>
            <w:webHidden/>
          </w:rPr>
          <w:fldChar w:fldCharType="begin"/>
        </w:r>
        <w:r w:rsidR="00E03140">
          <w:rPr>
            <w:noProof/>
            <w:webHidden/>
          </w:rPr>
          <w:instrText xml:space="preserve"> PAGEREF _Toc444007951 \h </w:instrText>
        </w:r>
        <w:r w:rsidR="00E03140">
          <w:rPr>
            <w:noProof/>
            <w:webHidden/>
          </w:rPr>
        </w:r>
        <w:r w:rsidR="00E03140">
          <w:rPr>
            <w:noProof/>
            <w:webHidden/>
          </w:rPr>
          <w:fldChar w:fldCharType="separate"/>
        </w:r>
        <w:r w:rsidR="001A113A">
          <w:rPr>
            <w:noProof/>
            <w:webHidden/>
          </w:rPr>
          <w:t>8</w:t>
        </w:r>
        <w:r w:rsidR="00E03140">
          <w:rPr>
            <w:noProof/>
            <w:webHidden/>
          </w:rPr>
          <w:fldChar w:fldCharType="end"/>
        </w:r>
      </w:hyperlink>
    </w:p>
    <w:p w:rsidR="00E03140" w:rsidRDefault="00CE36BA">
      <w:pPr>
        <w:pStyle w:val="TOC2"/>
        <w:tabs>
          <w:tab w:val="left" w:pos="960"/>
        </w:tabs>
        <w:rPr>
          <w:rFonts w:asciiTheme="minorHAnsi" w:eastAsiaTheme="minorEastAsia" w:hAnsiTheme="minorHAnsi" w:cstheme="minorBidi"/>
          <w:noProof/>
          <w:sz w:val="22"/>
          <w:szCs w:val="22"/>
          <w:lang w:eastAsia="en-AU"/>
        </w:rPr>
      </w:pPr>
      <w:hyperlink w:anchor="_Toc444007952" w:history="1">
        <w:r w:rsidR="00E03140" w:rsidRPr="003939CA">
          <w:rPr>
            <w:rStyle w:val="Hyperlink"/>
            <w:noProof/>
          </w:rPr>
          <w:t>2.1</w:t>
        </w:r>
        <w:r w:rsidR="00E03140">
          <w:rPr>
            <w:rFonts w:asciiTheme="minorHAnsi" w:eastAsiaTheme="minorEastAsia" w:hAnsiTheme="minorHAnsi" w:cstheme="minorBidi"/>
            <w:noProof/>
            <w:sz w:val="22"/>
            <w:szCs w:val="22"/>
            <w:lang w:eastAsia="en-AU"/>
          </w:rPr>
          <w:tab/>
        </w:r>
        <w:r w:rsidR="00E03140" w:rsidRPr="003939CA">
          <w:rPr>
            <w:rStyle w:val="Hyperlink"/>
            <w:noProof/>
          </w:rPr>
          <w:t>The intermediate objectives section 3(2)</w:t>
        </w:r>
        <w:r w:rsidR="00E03140" w:rsidRPr="003939CA">
          <w:rPr>
            <w:rStyle w:val="Hyperlink"/>
            <w:i/>
            <w:noProof/>
          </w:rPr>
          <w:t xml:space="preserve"> </w:t>
        </w:r>
        <w:r w:rsidR="00E03140" w:rsidRPr="003939CA">
          <w:rPr>
            <w:rStyle w:val="Hyperlink"/>
            <w:noProof/>
          </w:rPr>
          <w:t>of the TPP Act</w:t>
        </w:r>
        <w:r w:rsidR="00E03140">
          <w:rPr>
            <w:noProof/>
            <w:webHidden/>
          </w:rPr>
          <w:tab/>
        </w:r>
        <w:r w:rsidR="00E03140">
          <w:rPr>
            <w:noProof/>
            <w:webHidden/>
          </w:rPr>
          <w:fldChar w:fldCharType="begin"/>
        </w:r>
        <w:r w:rsidR="00E03140">
          <w:rPr>
            <w:noProof/>
            <w:webHidden/>
          </w:rPr>
          <w:instrText xml:space="preserve"> PAGEREF _Toc444007952 \h </w:instrText>
        </w:r>
        <w:r w:rsidR="00E03140">
          <w:rPr>
            <w:noProof/>
            <w:webHidden/>
          </w:rPr>
        </w:r>
        <w:r w:rsidR="00E03140">
          <w:rPr>
            <w:noProof/>
            <w:webHidden/>
          </w:rPr>
          <w:fldChar w:fldCharType="separate"/>
        </w:r>
        <w:r w:rsidR="001A113A">
          <w:rPr>
            <w:noProof/>
            <w:webHidden/>
          </w:rPr>
          <w:t>8</w:t>
        </w:r>
        <w:r w:rsidR="00E03140">
          <w:rPr>
            <w:noProof/>
            <w:webHidden/>
          </w:rPr>
          <w:fldChar w:fldCharType="end"/>
        </w:r>
      </w:hyperlink>
    </w:p>
    <w:p w:rsidR="00E03140" w:rsidRDefault="00CE36BA">
      <w:pPr>
        <w:pStyle w:val="TOC2"/>
        <w:tabs>
          <w:tab w:val="left" w:pos="960"/>
        </w:tabs>
        <w:rPr>
          <w:rFonts w:asciiTheme="minorHAnsi" w:eastAsiaTheme="minorEastAsia" w:hAnsiTheme="minorHAnsi" w:cstheme="minorBidi"/>
          <w:noProof/>
          <w:sz w:val="22"/>
          <w:szCs w:val="22"/>
          <w:lang w:eastAsia="en-AU"/>
        </w:rPr>
      </w:pPr>
      <w:hyperlink w:anchor="_Toc444007953" w:history="1">
        <w:r w:rsidR="00E03140" w:rsidRPr="003939CA">
          <w:rPr>
            <w:rStyle w:val="Hyperlink"/>
            <w:noProof/>
          </w:rPr>
          <w:t>2.2</w:t>
        </w:r>
        <w:r w:rsidR="00E03140">
          <w:rPr>
            <w:rFonts w:asciiTheme="minorHAnsi" w:eastAsiaTheme="minorEastAsia" w:hAnsiTheme="minorHAnsi" w:cstheme="minorBidi"/>
            <w:noProof/>
            <w:sz w:val="22"/>
            <w:szCs w:val="22"/>
            <w:lang w:eastAsia="en-AU"/>
          </w:rPr>
          <w:tab/>
        </w:r>
        <w:r w:rsidR="00E03140" w:rsidRPr="003939CA">
          <w:rPr>
            <w:rStyle w:val="Hyperlink"/>
            <w:noProof/>
          </w:rPr>
          <w:t>The longer term objectives section 3(1) of the TPP Act</w:t>
        </w:r>
        <w:r w:rsidR="00E03140">
          <w:rPr>
            <w:noProof/>
            <w:webHidden/>
          </w:rPr>
          <w:tab/>
        </w:r>
        <w:r w:rsidR="00E03140">
          <w:rPr>
            <w:noProof/>
            <w:webHidden/>
          </w:rPr>
          <w:fldChar w:fldCharType="begin"/>
        </w:r>
        <w:r w:rsidR="00E03140">
          <w:rPr>
            <w:noProof/>
            <w:webHidden/>
          </w:rPr>
          <w:instrText xml:space="preserve"> PAGEREF _Toc444007953 \h </w:instrText>
        </w:r>
        <w:r w:rsidR="00E03140">
          <w:rPr>
            <w:noProof/>
            <w:webHidden/>
          </w:rPr>
        </w:r>
        <w:r w:rsidR="00E03140">
          <w:rPr>
            <w:noProof/>
            <w:webHidden/>
          </w:rPr>
          <w:fldChar w:fldCharType="separate"/>
        </w:r>
        <w:r w:rsidR="001A113A">
          <w:rPr>
            <w:noProof/>
            <w:webHidden/>
          </w:rPr>
          <w:t>30</w:t>
        </w:r>
        <w:r w:rsidR="00E03140">
          <w:rPr>
            <w:noProof/>
            <w:webHidden/>
          </w:rPr>
          <w:fldChar w:fldCharType="end"/>
        </w:r>
      </w:hyperlink>
    </w:p>
    <w:p w:rsidR="00E03140" w:rsidRDefault="00CE36BA">
      <w:pPr>
        <w:pStyle w:val="TOC2"/>
        <w:tabs>
          <w:tab w:val="left" w:pos="960"/>
        </w:tabs>
        <w:rPr>
          <w:rFonts w:asciiTheme="minorHAnsi" w:eastAsiaTheme="minorEastAsia" w:hAnsiTheme="minorHAnsi" w:cstheme="minorBidi"/>
          <w:noProof/>
          <w:sz w:val="22"/>
          <w:szCs w:val="22"/>
          <w:lang w:eastAsia="en-AU"/>
        </w:rPr>
      </w:pPr>
      <w:hyperlink w:anchor="_Toc444007954" w:history="1">
        <w:r w:rsidR="00E03140" w:rsidRPr="003939CA">
          <w:rPr>
            <w:rStyle w:val="Hyperlink"/>
            <w:noProof/>
          </w:rPr>
          <w:t>2.3</w:t>
        </w:r>
        <w:r w:rsidR="00E03140">
          <w:rPr>
            <w:rFonts w:asciiTheme="minorHAnsi" w:eastAsiaTheme="minorEastAsia" w:hAnsiTheme="minorHAnsi" w:cstheme="minorBidi"/>
            <w:noProof/>
            <w:sz w:val="22"/>
            <w:szCs w:val="22"/>
            <w:lang w:eastAsia="en-AU"/>
          </w:rPr>
          <w:tab/>
        </w:r>
        <w:r w:rsidR="00E03140" w:rsidRPr="003939CA">
          <w:rPr>
            <w:rStyle w:val="Hyperlink"/>
            <w:noProof/>
          </w:rPr>
          <w:t>Stakeholder opinions on the positive and negative impacts of the tobacco plain packaging measure on themselves and other groups</w:t>
        </w:r>
        <w:r w:rsidR="00E03140">
          <w:rPr>
            <w:noProof/>
            <w:webHidden/>
          </w:rPr>
          <w:tab/>
        </w:r>
        <w:r w:rsidR="00E03140">
          <w:rPr>
            <w:noProof/>
            <w:webHidden/>
          </w:rPr>
          <w:fldChar w:fldCharType="begin"/>
        </w:r>
        <w:r w:rsidR="00E03140">
          <w:rPr>
            <w:noProof/>
            <w:webHidden/>
          </w:rPr>
          <w:instrText xml:space="preserve"> PAGEREF _Toc444007954 \h </w:instrText>
        </w:r>
        <w:r w:rsidR="00E03140">
          <w:rPr>
            <w:noProof/>
            <w:webHidden/>
          </w:rPr>
        </w:r>
        <w:r w:rsidR="00E03140">
          <w:rPr>
            <w:noProof/>
            <w:webHidden/>
          </w:rPr>
          <w:fldChar w:fldCharType="separate"/>
        </w:r>
        <w:r w:rsidR="001A113A">
          <w:rPr>
            <w:noProof/>
            <w:webHidden/>
          </w:rPr>
          <w:t>50</w:t>
        </w:r>
        <w:r w:rsidR="00E03140">
          <w:rPr>
            <w:noProof/>
            <w:webHidden/>
          </w:rPr>
          <w:fldChar w:fldCharType="end"/>
        </w:r>
      </w:hyperlink>
    </w:p>
    <w:p w:rsidR="00E03140" w:rsidRDefault="00CE36BA">
      <w:pPr>
        <w:pStyle w:val="TOC1"/>
        <w:rPr>
          <w:rFonts w:asciiTheme="minorHAnsi" w:eastAsiaTheme="minorEastAsia" w:hAnsiTheme="minorHAnsi" w:cstheme="minorBidi"/>
          <w:bCs w:val="0"/>
          <w:noProof/>
          <w:sz w:val="22"/>
          <w:szCs w:val="22"/>
          <w:lang w:eastAsia="en-AU"/>
        </w:rPr>
      </w:pPr>
      <w:hyperlink w:anchor="_Toc444007955" w:history="1">
        <w:r w:rsidR="00E03140" w:rsidRPr="003939CA">
          <w:rPr>
            <w:rStyle w:val="Hyperlink"/>
            <w:noProof/>
          </w:rPr>
          <w:t>Section 3: Other issues</w:t>
        </w:r>
        <w:r w:rsidR="00E03140">
          <w:rPr>
            <w:noProof/>
            <w:webHidden/>
          </w:rPr>
          <w:tab/>
        </w:r>
        <w:r w:rsidR="00E03140">
          <w:rPr>
            <w:noProof/>
            <w:webHidden/>
          </w:rPr>
          <w:fldChar w:fldCharType="begin"/>
        </w:r>
        <w:r w:rsidR="00E03140">
          <w:rPr>
            <w:noProof/>
            <w:webHidden/>
          </w:rPr>
          <w:instrText xml:space="preserve"> PAGEREF _Toc444007955 \h </w:instrText>
        </w:r>
        <w:r w:rsidR="00E03140">
          <w:rPr>
            <w:noProof/>
            <w:webHidden/>
          </w:rPr>
        </w:r>
        <w:r w:rsidR="00E03140">
          <w:rPr>
            <w:noProof/>
            <w:webHidden/>
          </w:rPr>
          <w:fldChar w:fldCharType="separate"/>
        </w:r>
        <w:r w:rsidR="001A113A">
          <w:rPr>
            <w:noProof/>
            <w:webHidden/>
          </w:rPr>
          <w:t>57</w:t>
        </w:r>
        <w:r w:rsidR="00E03140">
          <w:rPr>
            <w:noProof/>
            <w:webHidden/>
          </w:rPr>
          <w:fldChar w:fldCharType="end"/>
        </w:r>
      </w:hyperlink>
    </w:p>
    <w:p w:rsidR="00E03140" w:rsidRDefault="00CE36BA">
      <w:pPr>
        <w:pStyle w:val="TOC2"/>
        <w:rPr>
          <w:rFonts w:asciiTheme="minorHAnsi" w:eastAsiaTheme="minorEastAsia" w:hAnsiTheme="minorHAnsi" w:cstheme="minorBidi"/>
          <w:noProof/>
          <w:sz w:val="22"/>
          <w:szCs w:val="22"/>
          <w:lang w:eastAsia="en-AU"/>
        </w:rPr>
      </w:pPr>
      <w:hyperlink w:anchor="_Toc444007956" w:history="1">
        <w:r w:rsidR="00E03140" w:rsidRPr="003939CA">
          <w:rPr>
            <w:rStyle w:val="Hyperlink"/>
            <w:noProof/>
          </w:rPr>
          <w:t>3.1 Illicit tobacco</w:t>
        </w:r>
        <w:r w:rsidR="00E03140">
          <w:rPr>
            <w:noProof/>
            <w:webHidden/>
          </w:rPr>
          <w:tab/>
        </w:r>
        <w:r w:rsidR="00E03140">
          <w:rPr>
            <w:noProof/>
            <w:webHidden/>
          </w:rPr>
          <w:fldChar w:fldCharType="begin"/>
        </w:r>
        <w:r w:rsidR="00E03140">
          <w:rPr>
            <w:noProof/>
            <w:webHidden/>
          </w:rPr>
          <w:instrText xml:space="preserve"> PAGEREF _Toc444007956 \h </w:instrText>
        </w:r>
        <w:r w:rsidR="00E03140">
          <w:rPr>
            <w:noProof/>
            <w:webHidden/>
          </w:rPr>
        </w:r>
        <w:r w:rsidR="00E03140">
          <w:rPr>
            <w:noProof/>
            <w:webHidden/>
          </w:rPr>
          <w:fldChar w:fldCharType="separate"/>
        </w:r>
        <w:r w:rsidR="001A113A">
          <w:rPr>
            <w:noProof/>
            <w:webHidden/>
          </w:rPr>
          <w:t>57</w:t>
        </w:r>
        <w:r w:rsidR="00E03140">
          <w:rPr>
            <w:noProof/>
            <w:webHidden/>
          </w:rPr>
          <w:fldChar w:fldCharType="end"/>
        </w:r>
      </w:hyperlink>
    </w:p>
    <w:p w:rsidR="00E03140" w:rsidRDefault="00CE36BA">
      <w:pPr>
        <w:pStyle w:val="TOC2"/>
        <w:rPr>
          <w:rFonts w:asciiTheme="minorHAnsi" w:eastAsiaTheme="minorEastAsia" w:hAnsiTheme="minorHAnsi" w:cstheme="minorBidi"/>
          <w:noProof/>
          <w:sz w:val="22"/>
          <w:szCs w:val="22"/>
          <w:lang w:eastAsia="en-AU"/>
        </w:rPr>
      </w:pPr>
      <w:hyperlink w:anchor="_Toc444007957" w:history="1">
        <w:r w:rsidR="00E03140" w:rsidRPr="003939CA">
          <w:rPr>
            <w:rStyle w:val="Hyperlink"/>
            <w:noProof/>
          </w:rPr>
          <w:t>3.2 General views and beliefs</w:t>
        </w:r>
        <w:r w:rsidR="00E03140">
          <w:rPr>
            <w:noProof/>
            <w:webHidden/>
          </w:rPr>
          <w:tab/>
        </w:r>
        <w:r w:rsidR="00E03140">
          <w:rPr>
            <w:noProof/>
            <w:webHidden/>
          </w:rPr>
          <w:fldChar w:fldCharType="begin"/>
        </w:r>
        <w:r w:rsidR="00E03140">
          <w:rPr>
            <w:noProof/>
            <w:webHidden/>
          </w:rPr>
          <w:instrText xml:space="preserve"> PAGEREF _Toc444007957 \h </w:instrText>
        </w:r>
        <w:r w:rsidR="00E03140">
          <w:rPr>
            <w:noProof/>
            <w:webHidden/>
          </w:rPr>
        </w:r>
        <w:r w:rsidR="00E03140">
          <w:rPr>
            <w:noProof/>
            <w:webHidden/>
          </w:rPr>
          <w:fldChar w:fldCharType="separate"/>
        </w:r>
        <w:r w:rsidR="001A113A">
          <w:rPr>
            <w:noProof/>
            <w:webHidden/>
          </w:rPr>
          <w:t>57</w:t>
        </w:r>
        <w:r w:rsidR="00E03140">
          <w:rPr>
            <w:noProof/>
            <w:webHidden/>
          </w:rPr>
          <w:fldChar w:fldCharType="end"/>
        </w:r>
      </w:hyperlink>
    </w:p>
    <w:p w:rsidR="00E03140" w:rsidRDefault="00CE36BA">
      <w:pPr>
        <w:pStyle w:val="TOC1"/>
        <w:rPr>
          <w:rFonts w:asciiTheme="minorHAnsi" w:eastAsiaTheme="minorEastAsia" w:hAnsiTheme="minorHAnsi" w:cstheme="minorBidi"/>
          <w:bCs w:val="0"/>
          <w:noProof/>
          <w:sz w:val="22"/>
          <w:szCs w:val="22"/>
          <w:lang w:eastAsia="en-AU"/>
        </w:rPr>
      </w:pPr>
      <w:hyperlink w:anchor="_Toc444007958" w:history="1">
        <w:r w:rsidR="00E03140" w:rsidRPr="003939CA">
          <w:rPr>
            <w:rStyle w:val="Hyperlink"/>
            <w:noProof/>
          </w:rPr>
          <w:t>Final Report Appendix 1</w:t>
        </w:r>
        <w:r w:rsidR="00E03140">
          <w:rPr>
            <w:noProof/>
            <w:webHidden/>
          </w:rPr>
          <w:tab/>
        </w:r>
        <w:r w:rsidR="00E03140">
          <w:rPr>
            <w:noProof/>
            <w:webHidden/>
          </w:rPr>
          <w:fldChar w:fldCharType="begin"/>
        </w:r>
        <w:r w:rsidR="00E03140">
          <w:rPr>
            <w:noProof/>
            <w:webHidden/>
          </w:rPr>
          <w:instrText xml:space="preserve"> PAGEREF _Toc444007958 \h </w:instrText>
        </w:r>
        <w:r w:rsidR="00E03140">
          <w:rPr>
            <w:noProof/>
            <w:webHidden/>
          </w:rPr>
        </w:r>
        <w:r w:rsidR="00E03140">
          <w:rPr>
            <w:noProof/>
            <w:webHidden/>
          </w:rPr>
          <w:fldChar w:fldCharType="separate"/>
        </w:r>
        <w:r w:rsidR="001A113A">
          <w:rPr>
            <w:noProof/>
            <w:webHidden/>
          </w:rPr>
          <w:t>59</w:t>
        </w:r>
        <w:r w:rsidR="00E03140">
          <w:rPr>
            <w:noProof/>
            <w:webHidden/>
          </w:rPr>
          <w:fldChar w:fldCharType="end"/>
        </w:r>
      </w:hyperlink>
    </w:p>
    <w:p w:rsidR="00E03140" w:rsidRDefault="00CE36BA">
      <w:pPr>
        <w:pStyle w:val="TOC2"/>
        <w:rPr>
          <w:rFonts w:asciiTheme="minorHAnsi" w:eastAsiaTheme="minorEastAsia" w:hAnsiTheme="minorHAnsi" w:cstheme="minorBidi"/>
          <w:noProof/>
          <w:sz w:val="22"/>
          <w:szCs w:val="22"/>
          <w:lang w:eastAsia="en-AU"/>
        </w:rPr>
      </w:pPr>
      <w:hyperlink w:anchor="_Toc444007959" w:history="1">
        <w:r w:rsidR="00E03140" w:rsidRPr="003939CA">
          <w:rPr>
            <w:rStyle w:val="Hyperlink"/>
            <w:noProof/>
          </w:rPr>
          <w:t>Appendix 1.A): Organisations and Government Departments/Agencies invited directly to participate in the consultation process from February 2015 to March 2015</w:t>
        </w:r>
        <w:r w:rsidR="00E03140">
          <w:rPr>
            <w:noProof/>
            <w:webHidden/>
          </w:rPr>
          <w:tab/>
        </w:r>
        <w:r w:rsidR="00E03140">
          <w:rPr>
            <w:noProof/>
            <w:webHidden/>
          </w:rPr>
          <w:fldChar w:fldCharType="begin"/>
        </w:r>
        <w:r w:rsidR="00E03140">
          <w:rPr>
            <w:noProof/>
            <w:webHidden/>
          </w:rPr>
          <w:instrText xml:space="preserve"> PAGEREF _Toc444007959 \h </w:instrText>
        </w:r>
        <w:r w:rsidR="00E03140">
          <w:rPr>
            <w:noProof/>
            <w:webHidden/>
          </w:rPr>
        </w:r>
        <w:r w:rsidR="00E03140">
          <w:rPr>
            <w:noProof/>
            <w:webHidden/>
          </w:rPr>
          <w:fldChar w:fldCharType="separate"/>
        </w:r>
        <w:r w:rsidR="001A113A">
          <w:rPr>
            <w:noProof/>
            <w:webHidden/>
          </w:rPr>
          <w:t>60</w:t>
        </w:r>
        <w:r w:rsidR="00E03140">
          <w:rPr>
            <w:noProof/>
            <w:webHidden/>
          </w:rPr>
          <w:fldChar w:fldCharType="end"/>
        </w:r>
      </w:hyperlink>
    </w:p>
    <w:p w:rsidR="00E03140" w:rsidRDefault="00CE36BA">
      <w:pPr>
        <w:pStyle w:val="TOC2"/>
        <w:rPr>
          <w:rFonts w:asciiTheme="minorHAnsi" w:eastAsiaTheme="minorEastAsia" w:hAnsiTheme="minorHAnsi" w:cstheme="minorBidi"/>
          <w:noProof/>
          <w:sz w:val="22"/>
          <w:szCs w:val="22"/>
          <w:lang w:eastAsia="en-AU"/>
        </w:rPr>
      </w:pPr>
      <w:hyperlink w:anchor="_Toc444007960" w:history="1">
        <w:r w:rsidR="00E03140" w:rsidRPr="003939CA">
          <w:rPr>
            <w:rStyle w:val="Hyperlink"/>
            <w:noProof/>
          </w:rPr>
          <w:t>Appendix 1.B): Demographics of respondents who identified as consumers</w:t>
        </w:r>
        <w:r w:rsidR="00E03140">
          <w:rPr>
            <w:noProof/>
            <w:webHidden/>
          </w:rPr>
          <w:tab/>
        </w:r>
        <w:r w:rsidR="00E03140">
          <w:rPr>
            <w:noProof/>
            <w:webHidden/>
          </w:rPr>
          <w:fldChar w:fldCharType="begin"/>
        </w:r>
        <w:r w:rsidR="00E03140">
          <w:rPr>
            <w:noProof/>
            <w:webHidden/>
          </w:rPr>
          <w:instrText xml:space="preserve"> PAGEREF _Toc444007960 \h </w:instrText>
        </w:r>
        <w:r w:rsidR="00E03140">
          <w:rPr>
            <w:noProof/>
            <w:webHidden/>
          </w:rPr>
        </w:r>
        <w:r w:rsidR="00E03140">
          <w:rPr>
            <w:noProof/>
            <w:webHidden/>
          </w:rPr>
          <w:fldChar w:fldCharType="separate"/>
        </w:r>
        <w:r w:rsidR="001A113A">
          <w:rPr>
            <w:noProof/>
            <w:webHidden/>
          </w:rPr>
          <w:t>64</w:t>
        </w:r>
        <w:r w:rsidR="00E03140">
          <w:rPr>
            <w:noProof/>
            <w:webHidden/>
          </w:rPr>
          <w:fldChar w:fldCharType="end"/>
        </w:r>
      </w:hyperlink>
    </w:p>
    <w:p w:rsidR="00E03140" w:rsidRDefault="00CE36BA">
      <w:pPr>
        <w:pStyle w:val="TOC1"/>
        <w:rPr>
          <w:rFonts w:asciiTheme="minorHAnsi" w:eastAsiaTheme="minorEastAsia" w:hAnsiTheme="minorHAnsi" w:cstheme="minorBidi"/>
          <w:bCs w:val="0"/>
          <w:noProof/>
          <w:sz w:val="22"/>
          <w:szCs w:val="22"/>
          <w:lang w:eastAsia="en-AU"/>
        </w:rPr>
      </w:pPr>
      <w:hyperlink w:anchor="_Toc444007961" w:history="1">
        <w:r w:rsidR="00E03140" w:rsidRPr="003939CA">
          <w:rPr>
            <w:rStyle w:val="Hyperlink"/>
            <w:noProof/>
          </w:rPr>
          <w:t>Final Report Appendix 2</w:t>
        </w:r>
        <w:r w:rsidR="00E03140">
          <w:rPr>
            <w:noProof/>
            <w:webHidden/>
          </w:rPr>
          <w:tab/>
        </w:r>
        <w:r w:rsidR="00E03140">
          <w:rPr>
            <w:noProof/>
            <w:webHidden/>
          </w:rPr>
          <w:fldChar w:fldCharType="begin"/>
        </w:r>
        <w:r w:rsidR="00E03140">
          <w:rPr>
            <w:noProof/>
            <w:webHidden/>
          </w:rPr>
          <w:instrText xml:space="preserve"> PAGEREF _Toc444007961 \h </w:instrText>
        </w:r>
        <w:r w:rsidR="00E03140">
          <w:rPr>
            <w:noProof/>
            <w:webHidden/>
          </w:rPr>
        </w:r>
        <w:r w:rsidR="00E03140">
          <w:rPr>
            <w:noProof/>
            <w:webHidden/>
          </w:rPr>
          <w:fldChar w:fldCharType="separate"/>
        </w:r>
        <w:r w:rsidR="001A113A">
          <w:rPr>
            <w:noProof/>
            <w:webHidden/>
          </w:rPr>
          <w:t>65</w:t>
        </w:r>
        <w:r w:rsidR="00E03140">
          <w:rPr>
            <w:noProof/>
            <w:webHidden/>
          </w:rPr>
          <w:fldChar w:fldCharType="end"/>
        </w:r>
      </w:hyperlink>
    </w:p>
    <w:p w:rsidR="00E03140" w:rsidRDefault="00CE36BA">
      <w:pPr>
        <w:pStyle w:val="TOC2"/>
        <w:rPr>
          <w:rFonts w:asciiTheme="minorHAnsi" w:eastAsiaTheme="minorEastAsia" w:hAnsiTheme="minorHAnsi" w:cstheme="minorBidi"/>
          <w:noProof/>
          <w:sz w:val="22"/>
          <w:szCs w:val="22"/>
          <w:lang w:eastAsia="en-AU"/>
        </w:rPr>
      </w:pPr>
      <w:hyperlink w:anchor="_Toc444007962" w:history="1">
        <w:r w:rsidR="00E03140" w:rsidRPr="003939CA">
          <w:rPr>
            <w:rStyle w:val="Hyperlink"/>
            <w:noProof/>
          </w:rPr>
          <w:t>Appendix 2 A): References</w:t>
        </w:r>
        <w:r w:rsidR="00E03140">
          <w:rPr>
            <w:noProof/>
            <w:webHidden/>
          </w:rPr>
          <w:tab/>
        </w:r>
        <w:r w:rsidR="00E03140">
          <w:rPr>
            <w:noProof/>
            <w:webHidden/>
          </w:rPr>
          <w:fldChar w:fldCharType="begin"/>
        </w:r>
        <w:r w:rsidR="00E03140">
          <w:rPr>
            <w:noProof/>
            <w:webHidden/>
          </w:rPr>
          <w:instrText xml:space="preserve"> PAGEREF _Toc444007962 \h </w:instrText>
        </w:r>
        <w:r w:rsidR="00E03140">
          <w:rPr>
            <w:noProof/>
            <w:webHidden/>
          </w:rPr>
        </w:r>
        <w:r w:rsidR="00E03140">
          <w:rPr>
            <w:noProof/>
            <w:webHidden/>
          </w:rPr>
          <w:fldChar w:fldCharType="separate"/>
        </w:r>
        <w:r w:rsidR="001A113A">
          <w:rPr>
            <w:noProof/>
            <w:webHidden/>
          </w:rPr>
          <w:t>66</w:t>
        </w:r>
        <w:r w:rsidR="00E03140">
          <w:rPr>
            <w:noProof/>
            <w:webHidden/>
          </w:rPr>
          <w:fldChar w:fldCharType="end"/>
        </w:r>
      </w:hyperlink>
    </w:p>
    <w:p w:rsidR="00E03140" w:rsidRDefault="00CE36BA">
      <w:pPr>
        <w:pStyle w:val="TOC1"/>
        <w:rPr>
          <w:rFonts w:asciiTheme="minorHAnsi" w:eastAsiaTheme="minorEastAsia" w:hAnsiTheme="minorHAnsi" w:cstheme="minorBidi"/>
          <w:bCs w:val="0"/>
          <w:noProof/>
          <w:sz w:val="22"/>
          <w:szCs w:val="22"/>
          <w:lang w:eastAsia="en-AU"/>
        </w:rPr>
      </w:pPr>
      <w:hyperlink w:anchor="_Toc444007963" w:history="1">
        <w:r w:rsidR="00E03140" w:rsidRPr="003939CA">
          <w:rPr>
            <w:rStyle w:val="Hyperlink"/>
            <w:noProof/>
          </w:rPr>
          <w:t>Final Report Appendix 3</w:t>
        </w:r>
        <w:r w:rsidR="00E03140">
          <w:rPr>
            <w:noProof/>
            <w:webHidden/>
          </w:rPr>
          <w:tab/>
        </w:r>
        <w:r w:rsidR="00E03140">
          <w:rPr>
            <w:noProof/>
            <w:webHidden/>
          </w:rPr>
          <w:fldChar w:fldCharType="begin"/>
        </w:r>
        <w:r w:rsidR="00E03140">
          <w:rPr>
            <w:noProof/>
            <w:webHidden/>
          </w:rPr>
          <w:instrText xml:space="preserve"> PAGEREF _Toc444007963 \h </w:instrText>
        </w:r>
        <w:r w:rsidR="00E03140">
          <w:rPr>
            <w:noProof/>
            <w:webHidden/>
          </w:rPr>
        </w:r>
        <w:r w:rsidR="00E03140">
          <w:rPr>
            <w:noProof/>
            <w:webHidden/>
          </w:rPr>
          <w:fldChar w:fldCharType="separate"/>
        </w:r>
        <w:r w:rsidR="001A113A">
          <w:rPr>
            <w:noProof/>
            <w:webHidden/>
          </w:rPr>
          <w:t>70</w:t>
        </w:r>
        <w:r w:rsidR="00E03140">
          <w:rPr>
            <w:noProof/>
            <w:webHidden/>
          </w:rPr>
          <w:fldChar w:fldCharType="end"/>
        </w:r>
      </w:hyperlink>
    </w:p>
    <w:p w:rsidR="00E03140" w:rsidRDefault="00CE36BA">
      <w:pPr>
        <w:pStyle w:val="TOC2"/>
        <w:rPr>
          <w:rFonts w:asciiTheme="minorHAnsi" w:eastAsiaTheme="minorEastAsia" w:hAnsiTheme="minorHAnsi" w:cstheme="minorBidi"/>
          <w:noProof/>
          <w:sz w:val="22"/>
          <w:szCs w:val="22"/>
          <w:lang w:eastAsia="en-AU"/>
        </w:rPr>
      </w:pPr>
      <w:hyperlink w:anchor="_Toc444007964" w:history="1">
        <w:r w:rsidR="00E03140" w:rsidRPr="003939CA">
          <w:rPr>
            <w:rStyle w:val="Hyperlink"/>
            <w:noProof/>
          </w:rPr>
          <w:t>Consultation paper</w:t>
        </w:r>
        <w:r w:rsidR="00E03140">
          <w:rPr>
            <w:noProof/>
            <w:webHidden/>
          </w:rPr>
          <w:tab/>
        </w:r>
        <w:r w:rsidR="00E03140">
          <w:rPr>
            <w:noProof/>
            <w:webHidden/>
          </w:rPr>
          <w:fldChar w:fldCharType="begin"/>
        </w:r>
        <w:r w:rsidR="00E03140">
          <w:rPr>
            <w:noProof/>
            <w:webHidden/>
          </w:rPr>
          <w:instrText xml:space="preserve"> PAGEREF _Toc444007964 \h </w:instrText>
        </w:r>
        <w:r w:rsidR="00E03140">
          <w:rPr>
            <w:noProof/>
            <w:webHidden/>
          </w:rPr>
        </w:r>
        <w:r w:rsidR="00E03140">
          <w:rPr>
            <w:noProof/>
            <w:webHidden/>
          </w:rPr>
          <w:fldChar w:fldCharType="separate"/>
        </w:r>
        <w:r w:rsidR="001A113A">
          <w:rPr>
            <w:noProof/>
            <w:webHidden/>
          </w:rPr>
          <w:t>72</w:t>
        </w:r>
        <w:r w:rsidR="00E03140">
          <w:rPr>
            <w:noProof/>
            <w:webHidden/>
          </w:rPr>
          <w:fldChar w:fldCharType="end"/>
        </w:r>
      </w:hyperlink>
    </w:p>
    <w:p w:rsidR="007E6EDE" w:rsidRPr="007E6EDE" w:rsidRDefault="00EC02D0" w:rsidP="007E6EDE">
      <w:r>
        <w:rPr>
          <w:bCs/>
          <w:szCs w:val="20"/>
        </w:rPr>
        <w:fldChar w:fldCharType="end"/>
      </w:r>
    </w:p>
    <w:p w:rsidR="00C8291A" w:rsidRDefault="00AD6519" w:rsidP="008937F2">
      <w:r>
        <w:br w:type="page"/>
      </w:r>
    </w:p>
    <w:p w:rsidR="009E2472" w:rsidRPr="009E2472" w:rsidRDefault="009E2472" w:rsidP="009E2472">
      <w:pPr>
        <w:pStyle w:val="Heading1"/>
      </w:pPr>
      <w:bookmarkStart w:id="16" w:name="_Toc347329657"/>
      <w:bookmarkStart w:id="17" w:name="_Toc379358566"/>
      <w:bookmarkStart w:id="18" w:name="_Toc444007942"/>
      <w:bookmarkStart w:id="19" w:name="_Toc409528740"/>
      <w:r w:rsidRPr="009E2472">
        <w:lastRenderedPageBreak/>
        <w:t>Glossary</w:t>
      </w:r>
      <w:bookmarkEnd w:id="16"/>
      <w:bookmarkEnd w:id="17"/>
      <w:bookmarkEnd w:id="18"/>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table is a glossary of terms used.  It has two columns.  Read across for abbreviation, and the meaning (expansion) of that abbreviation."/>
      </w:tblPr>
      <w:tblGrid>
        <w:gridCol w:w="1577"/>
        <w:gridCol w:w="7774"/>
      </w:tblGrid>
      <w:tr w:rsidR="005724D0" w:rsidRPr="001331F6" w:rsidTr="00062C81">
        <w:trPr>
          <w:tblHeader/>
        </w:trPr>
        <w:tc>
          <w:tcPr>
            <w:tcW w:w="1577" w:type="dxa"/>
            <w:shd w:val="clear" w:color="auto" w:fill="DEEAF6"/>
          </w:tcPr>
          <w:p w:rsidR="005724D0" w:rsidRPr="001331F6" w:rsidRDefault="005724D0" w:rsidP="001331F6">
            <w:pPr>
              <w:spacing w:before="60" w:after="60"/>
              <w:rPr>
                <w:rFonts w:cs="Times New Roman"/>
                <w:b/>
                <w:sz w:val="22"/>
                <w:szCs w:val="22"/>
              </w:rPr>
            </w:pPr>
            <w:r w:rsidRPr="001331F6">
              <w:rPr>
                <w:rFonts w:cs="Times New Roman"/>
                <w:b/>
                <w:sz w:val="22"/>
                <w:szCs w:val="22"/>
              </w:rPr>
              <w:t xml:space="preserve">Abbreviation </w:t>
            </w:r>
          </w:p>
        </w:tc>
        <w:tc>
          <w:tcPr>
            <w:tcW w:w="7774" w:type="dxa"/>
            <w:shd w:val="clear" w:color="auto" w:fill="DEEAF6"/>
          </w:tcPr>
          <w:p w:rsidR="005724D0" w:rsidRPr="001331F6" w:rsidRDefault="00E603EB" w:rsidP="001331F6">
            <w:pPr>
              <w:spacing w:before="60" w:after="60"/>
              <w:rPr>
                <w:rFonts w:cs="Times New Roman"/>
                <w:b/>
                <w:sz w:val="22"/>
                <w:szCs w:val="22"/>
              </w:rPr>
            </w:pPr>
            <w:r w:rsidRPr="001331F6">
              <w:rPr>
                <w:rFonts w:cs="Times New Roman"/>
                <w:b/>
                <w:sz w:val="22"/>
                <w:szCs w:val="22"/>
              </w:rPr>
              <w:t>Expansion</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 xml:space="preserve">ABS </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 xml:space="preserve">Australian Bureau of Statistics </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ACT</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 xml:space="preserve">Australian Capital Territory </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AIHW</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 xml:space="preserve">Australian Institute of Health and Welfare </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APAIS</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Australian Public Affairs Information Service</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ASSAD</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Australian Secondary Schools Alcohol and Drug Survey</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BATA</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British American Tobacco Australia</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BMJ</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British Medical Journal</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CATI</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Computer-Assisted Telephone Interviewing</w:t>
            </w:r>
          </w:p>
        </w:tc>
      </w:tr>
      <w:tr w:rsidR="009C5199" w:rsidRPr="001331F6" w:rsidTr="00A030E4">
        <w:tc>
          <w:tcPr>
            <w:tcW w:w="1577" w:type="dxa"/>
          </w:tcPr>
          <w:p w:rsidR="009C5199" w:rsidRPr="001331F6" w:rsidRDefault="009C5199" w:rsidP="001331F6">
            <w:pPr>
              <w:spacing w:before="60" w:after="60"/>
              <w:rPr>
                <w:rFonts w:cs="Times New Roman"/>
                <w:sz w:val="22"/>
                <w:szCs w:val="22"/>
              </w:rPr>
            </w:pPr>
            <w:r w:rsidRPr="001331F6">
              <w:rPr>
                <w:rFonts w:cs="Times New Roman"/>
                <w:sz w:val="22"/>
                <w:szCs w:val="22"/>
              </w:rPr>
              <w:t>CBA</w:t>
            </w:r>
          </w:p>
        </w:tc>
        <w:tc>
          <w:tcPr>
            <w:tcW w:w="7774" w:type="dxa"/>
            <w:shd w:val="clear" w:color="auto" w:fill="auto"/>
          </w:tcPr>
          <w:p w:rsidR="009C5199" w:rsidRPr="001331F6" w:rsidRDefault="009C5199" w:rsidP="001331F6">
            <w:pPr>
              <w:spacing w:before="60" w:after="60"/>
              <w:rPr>
                <w:rFonts w:cs="Times New Roman"/>
                <w:sz w:val="22"/>
                <w:szCs w:val="22"/>
              </w:rPr>
            </w:pPr>
            <w:r w:rsidRPr="001331F6">
              <w:rPr>
                <w:rFonts w:cs="Times New Roman"/>
                <w:sz w:val="22"/>
                <w:szCs w:val="22"/>
              </w:rPr>
              <w:t>Cost Benefit Analysis</w:t>
            </w:r>
          </w:p>
        </w:tc>
      </w:tr>
      <w:tr w:rsidR="005724D0" w:rsidRPr="00F437B2" w:rsidTr="00A030E4">
        <w:tc>
          <w:tcPr>
            <w:tcW w:w="1577" w:type="dxa"/>
          </w:tcPr>
          <w:p w:rsidR="005724D0" w:rsidRPr="00F437B2" w:rsidRDefault="005724D0" w:rsidP="00F437B2">
            <w:pPr>
              <w:spacing w:before="60" w:after="60"/>
              <w:rPr>
                <w:rFonts w:cs="Times New Roman"/>
                <w:sz w:val="22"/>
                <w:szCs w:val="22"/>
              </w:rPr>
            </w:pPr>
            <w:r w:rsidRPr="00F437B2">
              <w:rPr>
                <w:rFonts w:cs="Times New Roman"/>
                <w:sz w:val="22"/>
                <w:szCs w:val="22"/>
              </w:rPr>
              <w:t>CITTS</w:t>
            </w:r>
          </w:p>
        </w:tc>
        <w:tc>
          <w:tcPr>
            <w:tcW w:w="7774" w:type="dxa"/>
            <w:shd w:val="clear" w:color="auto" w:fill="auto"/>
          </w:tcPr>
          <w:p w:rsidR="005724D0" w:rsidRPr="00F437B2" w:rsidRDefault="005724D0" w:rsidP="00F437B2">
            <w:pPr>
              <w:spacing w:before="60" w:after="60"/>
              <w:rPr>
                <w:rFonts w:cs="Times New Roman"/>
                <w:sz w:val="22"/>
                <w:szCs w:val="22"/>
              </w:rPr>
            </w:pPr>
            <w:r w:rsidRPr="00F437B2">
              <w:rPr>
                <w:rFonts w:cs="Times New Roman"/>
                <w:sz w:val="22"/>
                <w:szCs w:val="22"/>
              </w:rPr>
              <w:t>Cancer Institute Tobacco Tracking Survey</w:t>
            </w:r>
          </w:p>
        </w:tc>
      </w:tr>
      <w:tr w:rsidR="005724D0" w:rsidRPr="00F437B2" w:rsidTr="00D70E50">
        <w:trPr>
          <w:trHeight w:val="58"/>
        </w:trPr>
        <w:tc>
          <w:tcPr>
            <w:tcW w:w="1577" w:type="dxa"/>
          </w:tcPr>
          <w:p w:rsidR="005724D0" w:rsidRPr="00F437B2" w:rsidRDefault="005724D0" w:rsidP="00F437B2">
            <w:pPr>
              <w:spacing w:before="60" w:after="60"/>
              <w:rPr>
                <w:rFonts w:cs="Times New Roman"/>
                <w:sz w:val="22"/>
                <w:szCs w:val="22"/>
              </w:rPr>
            </w:pPr>
            <w:r w:rsidRPr="00F437B2">
              <w:rPr>
                <w:rFonts w:cs="Times New Roman"/>
                <w:sz w:val="22"/>
                <w:szCs w:val="22"/>
              </w:rPr>
              <w:t>FCTC</w:t>
            </w:r>
          </w:p>
        </w:tc>
        <w:tc>
          <w:tcPr>
            <w:tcW w:w="7774" w:type="dxa"/>
            <w:shd w:val="clear" w:color="auto" w:fill="auto"/>
          </w:tcPr>
          <w:p w:rsidR="005724D0" w:rsidRPr="00F437B2" w:rsidRDefault="005724D0" w:rsidP="00F437B2">
            <w:pPr>
              <w:spacing w:before="60" w:after="60"/>
              <w:rPr>
                <w:rFonts w:cs="Times New Roman"/>
                <w:sz w:val="22"/>
                <w:szCs w:val="22"/>
              </w:rPr>
            </w:pPr>
            <w:r w:rsidRPr="00F437B2">
              <w:rPr>
                <w:rFonts w:cs="Times New Roman"/>
                <w:sz w:val="22"/>
                <w:szCs w:val="22"/>
              </w:rPr>
              <w:t>Framework Convention on Tobacco Control</w:t>
            </w:r>
          </w:p>
        </w:tc>
      </w:tr>
      <w:tr w:rsidR="005724D0" w:rsidRPr="00F437B2" w:rsidTr="00A030E4">
        <w:tc>
          <w:tcPr>
            <w:tcW w:w="1577" w:type="dxa"/>
          </w:tcPr>
          <w:p w:rsidR="005724D0" w:rsidRPr="00F437B2" w:rsidRDefault="005724D0" w:rsidP="00F437B2">
            <w:pPr>
              <w:spacing w:before="60" w:after="60"/>
              <w:rPr>
                <w:rFonts w:cs="Times New Roman"/>
                <w:sz w:val="22"/>
                <w:szCs w:val="22"/>
              </w:rPr>
            </w:pPr>
            <w:r w:rsidRPr="00F437B2">
              <w:rPr>
                <w:rFonts w:cs="Times New Roman"/>
                <w:sz w:val="22"/>
                <w:szCs w:val="22"/>
              </w:rPr>
              <w:t>GHW</w:t>
            </w:r>
            <w:r w:rsidR="00BE2397" w:rsidRPr="00F437B2">
              <w:rPr>
                <w:rFonts w:cs="Times New Roman"/>
                <w:sz w:val="22"/>
                <w:szCs w:val="22"/>
              </w:rPr>
              <w:t>s</w:t>
            </w:r>
          </w:p>
        </w:tc>
        <w:tc>
          <w:tcPr>
            <w:tcW w:w="7774" w:type="dxa"/>
            <w:shd w:val="clear" w:color="auto" w:fill="auto"/>
          </w:tcPr>
          <w:p w:rsidR="005724D0" w:rsidRPr="00F437B2" w:rsidRDefault="00BE2397" w:rsidP="00F437B2">
            <w:pPr>
              <w:spacing w:before="60" w:after="60"/>
              <w:rPr>
                <w:rFonts w:cs="Times New Roman"/>
                <w:sz w:val="22"/>
                <w:szCs w:val="22"/>
              </w:rPr>
            </w:pPr>
            <w:r w:rsidRPr="00F437B2">
              <w:rPr>
                <w:rFonts w:cs="Times New Roman"/>
                <w:sz w:val="22"/>
                <w:szCs w:val="22"/>
              </w:rPr>
              <w:t>Graphic Health Warnings (2012)</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GP</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General Practitioner</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HWSS</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Health and Wellbeing Surveillance System</w:t>
            </w:r>
          </w:p>
        </w:tc>
      </w:tr>
      <w:tr w:rsidR="00DD3ED6" w:rsidRPr="001331F6" w:rsidTr="00A030E4">
        <w:tc>
          <w:tcPr>
            <w:tcW w:w="1577" w:type="dxa"/>
          </w:tcPr>
          <w:p w:rsidR="00DD3ED6" w:rsidRPr="001331F6" w:rsidRDefault="00DD3ED6" w:rsidP="001331F6">
            <w:pPr>
              <w:spacing w:before="60" w:after="60"/>
              <w:rPr>
                <w:rFonts w:cs="Times New Roman"/>
                <w:sz w:val="22"/>
                <w:szCs w:val="22"/>
              </w:rPr>
            </w:pPr>
            <w:r w:rsidRPr="001331F6">
              <w:rPr>
                <w:rFonts w:cs="Times New Roman"/>
                <w:sz w:val="22"/>
                <w:szCs w:val="22"/>
              </w:rPr>
              <w:t>HMRC</w:t>
            </w:r>
          </w:p>
        </w:tc>
        <w:tc>
          <w:tcPr>
            <w:tcW w:w="7774" w:type="dxa"/>
            <w:shd w:val="clear" w:color="auto" w:fill="auto"/>
          </w:tcPr>
          <w:p w:rsidR="00DD3ED6" w:rsidRPr="001331F6" w:rsidRDefault="00DD3ED6" w:rsidP="001331F6">
            <w:pPr>
              <w:spacing w:before="60" w:after="60"/>
              <w:rPr>
                <w:rFonts w:cs="Times New Roman"/>
                <w:sz w:val="22"/>
                <w:szCs w:val="22"/>
              </w:rPr>
            </w:pPr>
            <w:r w:rsidRPr="001331F6">
              <w:rPr>
                <w:rFonts w:cs="Times New Roman"/>
                <w:sz w:val="22"/>
                <w:szCs w:val="22"/>
              </w:rPr>
              <w:t>Her Majesty’s Revenue and Customs</w:t>
            </w:r>
          </w:p>
        </w:tc>
      </w:tr>
      <w:tr w:rsidR="005724D0" w:rsidRPr="001331F6" w:rsidTr="00A030E4">
        <w:tc>
          <w:tcPr>
            <w:tcW w:w="1577" w:type="dxa"/>
          </w:tcPr>
          <w:p w:rsidR="005724D0" w:rsidRPr="001331F6" w:rsidRDefault="00601E63" w:rsidP="001331F6">
            <w:pPr>
              <w:spacing w:before="60" w:after="60"/>
              <w:rPr>
                <w:rFonts w:cs="Times New Roman"/>
                <w:sz w:val="22"/>
                <w:szCs w:val="22"/>
              </w:rPr>
            </w:pPr>
            <w:r w:rsidRPr="001331F6">
              <w:rPr>
                <w:rFonts w:cs="Times New Roman"/>
                <w:sz w:val="22"/>
                <w:szCs w:val="22"/>
              </w:rPr>
              <w:t>IP</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 xml:space="preserve">Intellectual Property </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ITC</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International Tobacco Control</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JTI</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Japan Tobacco International</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NMI</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National Measurement Institute</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NDSHS</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National Drug Strategy Household Survey</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NGOs</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Non-government organisations</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NPV</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Net present value</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NSW</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New South Wales</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OBPR</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Office of Best Practice Regulation</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PBS</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Pharmaceutical Benefits Scheme</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PIR</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Post Implementation Review</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PML</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Phillip Morris Limited</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RBM</w:t>
            </w:r>
          </w:p>
        </w:tc>
        <w:tc>
          <w:tcPr>
            <w:tcW w:w="7774" w:type="dxa"/>
            <w:shd w:val="clear" w:color="auto" w:fill="auto"/>
          </w:tcPr>
          <w:p w:rsidR="005724D0" w:rsidRPr="001331F6" w:rsidRDefault="00601E63" w:rsidP="001331F6">
            <w:pPr>
              <w:spacing w:before="60" w:after="60"/>
              <w:rPr>
                <w:rFonts w:cs="Times New Roman"/>
                <w:sz w:val="22"/>
                <w:szCs w:val="22"/>
              </w:rPr>
            </w:pPr>
            <w:r w:rsidRPr="001331F6">
              <w:rPr>
                <w:rFonts w:cs="Times New Roman"/>
                <w:sz w:val="22"/>
                <w:szCs w:val="22"/>
              </w:rPr>
              <w:t>Regulatory Burden Measure</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RSA</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Rural Shops Alliance</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SA</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South Australia</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SAHMRI</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South Australian Health and Medical Research Institute</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SES</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Soci</w:t>
            </w:r>
            <w:r w:rsidR="00587F3E" w:rsidRPr="001331F6">
              <w:rPr>
                <w:rFonts w:cs="Times New Roman"/>
                <w:sz w:val="22"/>
                <w:szCs w:val="22"/>
              </w:rPr>
              <w:t>o</w:t>
            </w:r>
            <w:r w:rsidRPr="001331F6">
              <w:rPr>
                <w:rFonts w:cs="Times New Roman"/>
                <w:sz w:val="22"/>
                <w:szCs w:val="22"/>
              </w:rPr>
              <w:t>-Economic Status</w:t>
            </w:r>
          </w:p>
        </w:tc>
      </w:tr>
      <w:tr w:rsidR="00182A33" w:rsidRPr="001331F6" w:rsidTr="00A030E4">
        <w:tc>
          <w:tcPr>
            <w:tcW w:w="1577" w:type="dxa"/>
          </w:tcPr>
          <w:p w:rsidR="00182A33" w:rsidRDefault="009C50A3" w:rsidP="001331F6">
            <w:pPr>
              <w:spacing w:before="60" w:after="60"/>
              <w:rPr>
                <w:rFonts w:cs="Times New Roman"/>
                <w:sz w:val="22"/>
                <w:szCs w:val="22"/>
              </w:rPr>
            </w:pPr>
            <w:r>
              <w:rPr>
                <w:rFonts w:cs="Times New Roman"/>
                <w:sz w:val="22"/>
                <w:szCs w:val="22"/>
              </w:rPr>
              <w:t xml:space="preserve">TPP </w:t>
            </w:r>
            <w:r w:rsidR="00182A33">
              <w:rPr>
                <w:rFonts w:cs="Times New Roman"/>
                <w:sz w:val="22"/>
                <w:szCs w:val="22"/>
              </w:rPr>
              <w:t>Act</w:t>
            </w:r>
          </w:p>
        </w:tc>
        <w:tc>
          <w:tcPr>
            <w:tcW w:w="7774" w:type="dxa"/>
            <w:shd w:val="clear" w:color="auto" w:fill="auto"/>
          </w:tcPr>
          <w:p w:rsidR="00182A33" w:rsidRDefault="00182A33" w:rsidP="001331F6">
            <w:pPr>
              <w:spacing w:before="60" w:after="60"/>
              <w:rPr>
                <w:rFonts w:cs="Times New Roman"/>
                <w:sz w:val="22"/>
                <w:szCs w:val="22"/>
              </w:rPr>
            </w:pPr>
            <w:r w:rsidRPr="00182A33">
              <w:rPr>
                <w:rFonts w:cs="Times New Roman"/>
                <w:sz w:val="22"/>
                <w:szCs w:val="22"/>
              </w:rPr>
              <w:t>Tobacco Plain Packag</w:t>
            </w:r>
            <w:r>
              <w:rPr>
                <w:rFonts w:cs="Times New Roman"/>
                <w:sz w:val="22"/>
                <w:szCs w:val="22"/>
              </w:rPr>
              <w:t xml:space="preserve">ing Act </w:t>
            </w:r>
          </w:p>
        </w:tc>
      </w:tr>
      <w:tr w:rsidR="00DC2A51" w:rsidRPr="001331F6" w:rsidTr="00A030E4">
        <w:tc>
          <w:tcPr>
            <w:tcW w:w="1577" w:type="dxa"/>
          </w:tcPr>
          <w:p w:rsidR="00DC2A51" w:rsidRPr="001331F6" w:rsidRDefault="00DC2A51" w:rsidP="001331F6">
            <w:pPr>
              <w:spacing w:before="60" w:after="60"/>
              <w:rPr>
                <w:rFonts w:cs="Times New Roman"/>
                <w:sz w:val="22"/>
                <w:szCs w:val="22"/>
              </w:rPr>
            </w:pPr>
            <w:r>
              <w:rPr>
                <w:rFonts w:cs="Times New Roman"/>
                <w:sz w:val="22"/>
                <w:szCs w:val="22"/>
              </w:rPr>
              <w:t>TPP</w:t>
            </w:r>
          </w:p>
        </w:tc>
        <w:tc>
          <w:tcPr>
            <w:tcW w:w="7774" w:type="dxa"/>
            <w:shd w:val="clear" w:color="auto" w:fill="auto"/>
          </w:tcPr>
          <w:p w:rsidR="00DC2A51" w:rsidRPr="001331F6" w:rsidRDefault="00DC2A51" w:rsidP="001331F6">
            <w:pPr>
              <w:spacing w:before="60" w:after="60"/>
              <w:rPr>
                <w:rFonts w:cs="Times New Roman"/>
                <w:sz w:val="22"/>
                <w:szCs w:val="22"/>
              </w:rPr>
            </w:pPr>
            <w:r>
              <w:rPr>
                <w:rFonts w:cs="Times New Roman"/>
                <w:sz w:val="22"/>
                <w:szCs w:val="22"/>
              </w:rPr>
              <w:t xml:space="preserve">Tobacco Plain Packaging </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lastRenderedPageBreak/>
              <w:t>TTC</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 xml:space="preserve">Transnational Tobacco Corporations </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UK</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United Kingdom</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USA</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United States of America</w:t>
            </w:r>
          </w:p>
        </w:tc>
      </w:tr>
      <w:tr w:rsidR="005724D0" w:rsidRPr="001331F6" w:rsidTr="00A030E4">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WA</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Western Australia</w:t>
            </w:r>
          </w:p>
        </w:tc>
      </w:tr>
      <w:tr w:rsidR="005724D0" w:rsidRPr="001331F6" w:rsidTr="00A030E4">
        <w:trPr>
          <w:trHeight w:val="313"/>
        </w:trPr>
        <w:tc>
          <w:tcPr>
            <w:tcW w:w="1577" w:type="dxa"/>
          </w:tcPr>
          <w:p w:rsidR="005724D0" w:rsidRPr="001331F6" w:rsidRDefault="005724D0" w:rsidP="001331F6">
            <w:pPr>
              <w:spacing w:before="60" w:after="60"/>
              <w:rPr>
                <w:rFonts w:cs="Times New Roman"/>
                <w:sz w:val="22"/>
                <w:szCs w:val="22"/>
              </w:rPr>
            </w:pPr>
            <w:r w:rsidRPr="001331F6">
              <w:rPr>
                <w:rFonts w:cs="Times New Roman"/>
                <w:sz w:val="22"/>
                <w:szCs w:val="22"/>
              </w:rPr>
              <w:t>WHO</w:t>
            </w:r>
          </w:p>
        </w:tc>
        <w:tc>
          <w:tcPr>
            <w:tcW w:w="7774" w:type="dxa"/>
            <w:shd w:val="clear" w:color="auto" w:fill="auto"/>
          </w:tcPr>
          <w:p w:rsidR="005724D0" w:rsidRPr="001331F6" w:rsidRDefault="005724D0" w:rsidP="001331F6">
            <w:pPr>
              <w:spacing w:before="60" w:after="60"/>
              <w:rPr>
                <w:rFonts w:cs="Times New Roman"/>
                <w:sz w:val="22"/>
                <w:szCs w:val="22"/>
              </w:rPr>
            </w:pPr>
            <w:r w:rsidRPr="001331F6">
              <w:rPr>
                <w:rFonts w:cs="Times New Roman"/>
                <w:sz w:val="22"/>
                <w:szCs w:val="22"/>
              </w:rPr>
              <w:t>World Health Organi</w:t>
            </w:r>
            <w:r w:rsidR="008307AA" w:rsidRPr="001331F6">
              <w:rPr>
                <w:rFonts w:cs="Times New Roman"/>
                <w:sz w:val="22"/>
                <w:szCs w:val="22"/>
              </w:rPr>
              <w:t>z</w:t>
            </w:r>
            <w:r w:rsidRPr="001331F6">
              <w:rPr>
                <w:rFonts w:cs="Times New Roman"/>
                <w:sz w:val="22"/>
                <w:szCs w:val="22"/>
              </w:rPr>
              <w:t>ation</w:t>
            </w:r>
          </w:p>
        </w:tc>
      </w:tr>
    </w:tbl>
    <w:p w:rsidR="00EC02D0" w:rsidRDefault="009E2472" w:rsidP="00EC02D0">
      <w:pPr>
        <w:pStyle w:val="Bullet"/>
        <w:numPr>
          <w:ilvl w:val="0"/>
          <w:numId w:val="0"/>
        </w:numPr>
        <w:rPr>
          <w:iCs/>
          <w:sz w:val="28"/>
        </w:rPr>
      </w:pPr>
      <w:r>
        <w:rPr>
          <w:iCs/>
          <w:sz w:val="28"/>
        </w:rPr>
        <w:br w:type="page"/>
      </w:r>
    </w:p>
    <w:p w:rsidR="00EC02D0" w:rsidRDefault="00EC02D0" w:rsidP="00EC02D0">
      <w:pPr>
        <w:pStyle w:val="Heading1"/>
      </w:pPr>
      <w:bookmarkStart w:id="20" w:name="_Toc444007943"/>
      <w:r>
        <w:lastRenderedPageBreak/>
        <w:t>Introduction</w:t>
      </w:r>
      <w:bookmarkEnd w:id="20"/>
    </w:p>
    <w:p w:rsidR="00ED5CA0" w:rsidRDefault="00ED5CA0" w:rsidP="00EC02D0">
      <w:pPr>
        <w:pStyle w:val="Bullet"/>
        <w:numPr>
          <w:ilvl w:val="0"/>
          <w:numId w:val="0"/>
        </w:numPr>
      </w:pPr>
      <w:r w:rsidRPr="00E950C5">
        <w:t xml:space="preserve">The Department of Health engaged Siggins Miller Consultants Pty Ltd (Siggins Miller) to undertake stakeholder consultation and to conduct a cost benefit analysis of the </w:t>
      </w:r>
      <w:r w:rsidR="008C719A">
        <w:t xml:space="preserve">tobacco </w:t>
      </w:r>
      <w:r w:rsidR="008C719A" w:rsidRPr="00E950C5">
        <w:t>plain packaging</w:t>
      </w:r>
      <w:r w:rsidRPr="00E950C5">
        <w:t xml:space="preserve"> measure, to assist them to prepare their Post Implementation Review (PIR) for the Office of Best Practice Regulation (OBPR). </w:t>
      </w:r>
      <w:r>
        <w:t>This report presents the findin</w:t>
      </w:r>
      <w:r w:rsidR="00951DE1">
        <w:t>gs of the consultation process.</w:t>
      </w:r>
    </w:p>
    <w:p w:rsidR="00ED5CA0" w:rsidRPr="00ED5CA0" w:rsidRDefault="00ED5CA0" w:rsidP="00EC02D0">
      <w:pPr>
        <w:pStyle w:val="Bullet"/>
        <w:numPr>
          <w:ilvl w:val="0"/>
          <w:numId w:val="0"/>
        </w:numPr>
      </w:pPr>
      <w:r>
        <w:t xml:space="preserve">The </w:t>
      </w:r>
      <w:r w:rsidR="00850DD3">
        <w:t xml:space="preserve">targeted </w:t>
      </w:r>
      <w:r w:rsidR="008C719A">
        <w:t xml:space="preserve">stakeholder consultations which included </w:t>
      </w:r>
      <w:r w:rsidR="00850DD3">
        <w:t xml:space="preserve">face-to-face and telephone based interviews, </w:t>
      </w:r>
      <w:r w:rsidRPr="006E20D6">
        <w:t>and written submiss</w:t>
      </w:r>
      <w:r w:rsidR="00850DD3">
        <w:t xml:space="preserve">ions (online, email, hardcopy) </w:t>
      </w:r>
      <w:r w:rsidR="004211FF">
        <w:t>were</w:t>
      </w:r>
      <w:r w:rsidR="00850DD3">
        <w:t xml:space="preserve"> undertaken </w:t>
      </w:r>
      <w:r w:rsidRPr="006E20D6">
        <w:t xml:space="preserve">over a period of six weeks from the </w:t>
      </w:r>
      <w:r w:rsidR="00966E79">
        <w:t>16th February to the 27th March</w:t>
      </w:r>
      <w:r w:rsidRPr="006E20D6">
        <w:t xml:space="preserve"> 2015</w:t>
      </w:r>
      <w:r w:rsidR="00966E79">
        <w:t>,</w:t>
      </w:r>
      <w:r>
        <w:t xml:space="preserve"> </w:t>
      </w:r>
      <w:r w:rsidR="004211FF">
        <w:t>and were</w:t>
      </w:r>
      <w:r w:rsidRPr="006E20D6">
        <w:t xml:space="preserve"> advertised in newspapers, via standardised information in organisation communications (e.g. newsletters, e-newsletters, communiqués) and via Twitter. Key informant interviews were conducted with, and written submissions received from</w:t>
      </w:r>
      <w:r w:rsidR="004211FF">
        <w:t>,</w:t>
      </w:r>
      <w:r w:rsidRPr="006E20D6">
        <w:t xml:space="preserve"> the tobacco industry (tobacco companies, wholesalers and importers, packaging manufacturers), retailers, public health organisations and experts, NGOs, government departments and consumers. A costing survey of tobacco industry representatives and government agencies was also undertaken </w:t>
      </w:r>
      <w:r w:rsidR="00951DE1">
        <w:t>during the same time period.</w:t>
      </w:r>
    </w:p>
    <w:p w:rsidR="00ED5CA0" w:rsidRDefault="00ED5CA0" w:rsidP="00EC02D0">
      <w:pPr>
        <w:pStyle w:val="Bullet"/>
        <w:numPr>
          <w:ilvl w:val="0"/>
          <w:numId w:val="0"/>
        </w:numPr>
      </w:pPr>
      <w:r w:rsidRPr="00ED5CA0">
        <w:t>The main messages section below seeks to provide a high level summary of the detailed contents of the main body of the report in relation to substantial differences between the views or experiences of different stakeholders consulted.</w:t>
      </w:r>
      <w:bookmarkStart w:id="21" w:name="_Toc379358567"/>
      <w:bookmarkStart w:id="22" w:name="_Toc418770430"/>
    </w:p>
    <w:p w:rsidR="00372230" w:rsidRPr="009E2472" w:rsidRDefault="00372230" w:rsidP="00372230">
      <w:pPr>
        <w:pStyle w:val="Heading1"/>
      </w:pPr>
      <w:bookmarkStart w:id="23" w:name="_Toc444007944"/>
      <w:r w:rsidRPr="009E2472">
        <w:t>Main messages</w:t>
      </w:r>
      <w:bookmarkEnd w:id="21"/>
      <w:bookmarkEnd w:id="22"/>
      <w:bookmarkEnd w:id="23"/>
    </w:p>
    <w:p w:rsidR="0024519E" w:rsidRDefault="0024519E" w:rsidP="00EC02D0">
      <w:pPr>
        <w:pStyle w:val="Bullet"/>
      </w:pPr>
      <w:r>
        <w:t>Public health stakeholders believe</w:t>
      </w:r>
      <w:r w:rsidR="008C719A">
        <w:t>,</w:t>
      </w:r>
      <w:r>
        <w:t xml:space="preserve"> </w:t>
      </w:r>
      <w:r w:rsidRPr="00B76C12">
        <w:t xml:space="preserve">based on peer reviewed and anecdotal evidence that the </w:t>
      </w:r>
      <w:r>
        <w:t xml:space="preserve">tobacco </w:t>
      </w:r>
      <w:r w:rsidRPr="00B76C12">
        <w:t xml:space="preserve">plain packaging measure has had some or a significant impact on reducing the appeal of tobacco products to consumers, increasing the effectiveness of health warnings on tobacco products and reducing the ability of the retail packaging of tobacco products to mislead consumers about the harmful effects of smoking. They believe that </w:t>
      </w:r>
      <w:r>
        <w:t xml:space="preserve">tobacco </w:t>
      </w:r>
      <w:r w:rsidRPr="00B76C12">
        <w:t>plain packaging, as</w:t>
      </w:r>
      <w:r>
        <w:t xml:space="preserve"> part of a comprehensive suite of measures</w:t>
      </w:r>
      <w:r w:rsidRPr="00B76C12">
        <w:t xml:space="preserve">, has had some impact and </w:t>
      </w:r>
      <w:r w:rsidR="00C97C9F">
        <w:t>it</w:t>
      </w:r>
      <w:r w:rsidR="004F11BC">
        <w:t xml:space="preserve"> could be expected that it will</w:t>
      </w:r>
      <w:r w:rsidRPr="00B76C12">
        <w:t xml:space="preserve"> have a significant</w:t>
      </w:r>
      <w:r w:rsidR="00C97C9F">
        <w:t xml:space="preserve"> impact</w:t>
      </w:r>
      <w:r w:rsidR="004F11BC">
        <w:t>,</w:t>
      </w:r>
      <w:r w:rsidR="00C97C9F">
        <w:t xml:space="preserve"> in the longer term</w:t>
      </w:r>
      <w:r w:rsidR="004F11BC">
        <w:t>,</w:t>
      </w:r>
      <w:r w:rsidRPr="00B76C12">
        <w:t xml:space="preserve"> on discouraging people from taking up smoking, encouraging people to stop smoking and discouraging them from relapsing. They believe that as a result of a reduction in the overall number of people smoking, this may indirectly reduce people’s exposure to smoke from tobacco products. This group acknowledge that the stability of any findings will r</w:t>
      </w:r>
      <w:r w:rsidR="00951DE1">
        <w:t>equire longer term monitoring.</w:t>
      </w:r>
    </w:p>
    <w:p w:rsidR="0024519E" w:rsidRDefault="0024519E" w:rsidP="00EC02D0">
      <w:pPr>
        <w:pStyle w:val="Bullet"/>
      </w:pPr>
      <w:r w:rsidRPr="00B76C12">
        <w:t>In</w:t>
      </w:r>
      <w:r>
        <w:t xml:space="preserve"> contrast, the tobacco industry, </w:t>
      </w:r>
      <w:r w:rsidRPr="00B76C12">
        <w:t>retailers and non-</w:t>
      </w:r>
      <w:r>
        <w:t xml:space="preserve">health related NGOs </w:t>
      </w:r>
      <w:r w:rsidRPr="00B76C12">
        <w:t xml:space="preserve">have a different view on how the </w:t>
      </w:r>
      <w:r>
        <w:t xml:space="preserve">tobacco </w:t>
      </w:r>
      <w:r w:rsidRPr="00B76C12">
        <w:t xml:space="preserve">plain packaging measure should be judged, citing evidence about smoking incidence (which they believe has increased), prevalence (which they believe has remained the same) and consumption and expenditure (which they believe has remained the same or increased in some states). When asked about the achievement of the hoped for intermediate objectives such as whether the plain packaging measure has reduced the appeal of tobacco products, many </w:t>
      </w:r>
      <w:r>
        <w:t>believe</w:t>
      </w:r>
      <w:r w:rsidRPr="00B76C12">
        <w:t xml:space="preserve"> that the appeal of ‘tobacco packaging’ has been reduced for consumers but note that this is not the same as reducing the appeal of the ‘tobacco products.’ When asked about whether the effectiveness of health warnings has been increased, many agree that health warnings are more </w:t>
      </w:r>
      <w:proofErr w:type="gramStart"/>
      <w:r w:rsidRPr="00B76C12">
        <w:t>prominent/salient</w:t>
      </w:r>
      <w:proofErr w:type="gramEnd"/>
      <w:r w:rsidRPr="00B76C12">
        <w:t xml:space="preserve">, however they question whether this outcome would result in less people taking up or quitting smoking, particularly given that the health risks associated with smoking are already known and have been for a long time. This group does not believe that tobacco packaging was in anyway misleading prior to the introduction of the </w:t>
      </w:r>
      <w:r w:rsidRPr="00B76C12">
        <w:lastRenderedPageBreak/>
        <w:t>plain packaging measure and as a consequence question why it wa</w:t>
      </w:r>
      <w:r w:rsidR="00951DE1">
        <w:t>s necessary to remove branding.</w:t>
      </w:r>
    </w:p>
    <w:p w:rsidR="0024519E" w:rsidRDefault="0024519E" w:rsidP="00EC02D0">
      <w:pPr>
        <w:pStyle w:val="Bullet"/>
      </w:pPr>
      <w:r w:rsidRPr="00127523">
        <w:t xml:space="preserve">Public health stakeholders </w:t>
      </w:r>
      <w:r>
        <w:t>believe</w:t>
      </w:r>
      <w:r w:rsidRPr="00127523">
        <w:t xml:space="preserve"> that the </w:t>
      </w:r>
      <w:r>
        <w:t xml:space="preserve">tobacco plain packaging </w:t>
      </w:r>
      <w:r w:rsidRPr="00127523">
        <w:t>measure has played a significant role in facilitating the ongoing debate about tobacco and as a result continues to remind people that tobacco is a unique product that causes significant illness or death in a</w:t>
      </w:r>
      <w:r w:rsidR="00951DE1">
        <w:t xml:space="preserve"> majority of people who use it.</w:t>
      </w:r>
    </w:p>
    <w:p w:rsidR="0024519E" w:rsidRDefault="0024519E" w:rsidP="00EC02D0">
      <w:pPr>
        <w:pStyle w:val="Bullet"/>
      </w:pPr>
      <w:r w:rsidRPr="00127523">
        <w:t>The tobacco industry believe that in the timeframe since the introduction of tobacco plain packaging youth smoking ha</w:t>
      </w:r>
      <w:r>
        <w:t>s increased and cite evidence which they believe</w:t>
      </w:r>
      <w:r w:rsidRPr="00127523">
        <w:t xml:space="preserve"> support</w:t>
      </w:r>
      <w:r>
        <w:t>s</w:t>
      </w:r>
      <w:r w:rsidRPr="00127523">
        <w:t xml:space="preserve"> that view. In contrast</w:t>
      </w:r>
      <w:r>
        <w:t>,</w:t>
      </w:r>
      <w:r w:rsidRPr="00127523">
        <w:t xml:space="preserve"> public health stakeholders cite evidence that suggests otherwise. The quality and relevance of each of these data sources is discussed by public health stakeholders and is presen</w:t>
      </w:r>
      <w:r w:rsidR="00951DE1">
        <w:t>ted in the body of this report.</w:t>
      </w:r>
    </w:p>
    <w:p w:rsidR="0024519E" w:rsidRPr="00877B37" w:rsidRDefault="0024519E" w:rsidP="00EC02D0">
      <w:pPr>
        <w:pStyle w:val="Bullet"/>
      </w:pPr>
      <w:r w:rsidRPr="00877B37">
        <w:t>Some tobacco wholesalers and importers and most public health organisations and experts, retailers, government departments and consumers believe that plain packaging will be most effective and is likely to have its largest impact on those generations who are not yet smokers (i.e. act as a deterrent), rather than have a demonstrable impact on existing smokers, especially those who are highly nicotine dependent.</w:t>
      </w:r>
    </w:p>
    <w:p w:rsidR="009B792D" w:rsidRPr="00AD1CF7" w:rsidRDefault="00AD1CF7" w:rsidP="00EC02D0">
      <w:pPr>
        <w:pStyle w:val="Bullet"/>
      </w:pPr>
      <w:r w:rsidRPr="00AD1CF7">
        <w:t>Many s</w:t>
      </w:r>
      <w:r w:rsidR="0024519E" w:rsidRPr="00AD1CF7">
        <w:t>takeholder</w:t>
      </w:r>
      <w:r w:rsidR="0093249B" w:rsidRPr="00AD1CF7">
        <w:t>s from all</w:t>
      </w:r>
      <w:r w:rsidR="0024519E" w:rsidRPr="00AD1CF7">
        <w:t xml:space="preserve"> </w:t>
      </w:r>
      <w:r>
        <w:t xml:space="preserve">stakeholder </w:t>
      </w:r>
      <w:r w:rsidR="0024519E" w:rsidRPr="00AD1CF7">
        <w:t xml:space="preserve">groups </w:t>
      </w:r>
      <w:r>
        <w:t>reported</w:t>
      </w:r>
      <w:r w:rsidRPr="00AD1CF7">
        <w:t xml:space="preserve"> </w:t>
      </w:r>
      <w:r w:rsidR="0024519E" w:rsidRPr="00AD1CF7">
        <w:t>that separating out the direct impact of tobacco plain packaging from other tobacco control efforts on either the achievement of intermediate (behavioural) or longer term (public health) objec</w:t>
      </w:r>
      <w:r w:rsidR="0093249B" w:rsidRPr="00AD1CF7">
        <w:t>tives is difficult and a complex challenge</w:t>
      </w:r>
      <w:r w:rsidR="00951DE1">
        <w:t>.</w:t>
      </w:r>
    </w:p>
    <w:p w:rsidR="0024519E" w:rsidRDefault="00520D2B" w:rsidP="00EC02D0">
      <w:pPr>
        <w:pStyle w:val="Bullet"/>
      </w:pPr>
      <w:r>
        <w:t xml:space="preserve">Public health organisations and experts and government </w:t>
      </w:r>
      <w:r w:rsidR="006154F4">
        <w:t>department stakeholders</w:t>
      </w:r>
      <w:r w:rsidR="00390DE1">
        <w:t xml:space="preserve"> note that</w:t>
      </w:r>
      <w:r>
        <w:t xml:space="preserve"> </w:t>
      </w:r>
      <w:r w:rsidR="00390DE1">
        <w:t>w</w:t>
      </w:r>
      <w:r w:rsidR="0024519E" w:rsidRPr="00127523">
        <w:t xml:space="preserve">hile there is evidence from the literature that there is some impact on intermediate </w:t>
      </w:r>
      <w:r w:rsidR="0024519E">
        <w:t xml:space="preserve">objectives </w:t>
      </w:r>
      <w:r w:rsidR="0024519E" w:rsidRPr="00127523">
        <w:t>(</w:t>
      </w:r>
      <w:r w:rsidR="0024519E">
        <w:t xml:space="preserve">i.e. reduced </w:t>
      </w:r>
      <w:r w:rsidR="004211FF">
        <w:t>appeal</w:t>
      </w:r>
      <w:r w:rsidR="0024519E" w:rsidRPr="00127523">
        <w:t>,</w:t>
      </w:r>
      <w:r w:rsidR="0024519E" w:rsidRPr="008F2548">
        <w:t xml:space="preserve"> </w:t>
      </w:r>
      <w:r w:rsidR="0024519E">
        <w:t>increased</w:t>
      </w:r>
      <w:r w:rsidR="0024519E" w:rsidRPr="008F2548">
        <w:t xml:space="preserve"> e</w:t>
      </w:r>
      <w:r w:rsidR="0024519E">
        <w:t>ffectiveness of health warnings and reduced</w:t>
      </w:r>
      <w:r w:rsidR="0024519E" w:rsidRPr="008F2548">
        <w:t xml:space="preserve"> ability of the retail packaging of tobacco products to mislead consumers</w:t>
      </w:r>
      <w:r w:rsidR="00D135D3">
        <w:t>)</w:t>
      </w:r>
      <w:r w:rsidR="0024519E" w:rsidRPr="00127523">
        <w:t xml:space="preserve"> </w:t>
      </w:r>
      <w:r w:rsidR="00DC5DC2">
        <w:t>they believe more time is needed to monitor and measure the full impact of t</w:t>
      </w:r>
      <w:r w:rsidR="00951DE1">
        <w:t>he measure on these objectives.</w:t>
      </w:r>
    </w:p>
    <w:p w:rsidR="00A050D3" w:rsidRDefault="0024519E" w:rsidP="00EC02D0">
      <w:pPr>
        <w:pStyle w:val="Bullet"/>
      </w:pPr>
      <w:r w:rsidRPr="00877B37">
        <w:t xml:space="preserve">The tobacco industry has made prevalence the centrepiece of its opposition to the measure, asserting that the government cannot show a proximal drop in smoking rates to establish that </w:t>
      </w:r>
      <w:r>
        <w:t xml:space="preserve">tobacco </w:t>
      </w:r>
      <w:r w:rsidRPr="00877B37">
        <w:t xml:space="preserve">plain packaging has met its objectives. Government and public health stakeholders note that governments did not expect that the prevalence of smoking would drop </w:t>
      </w:r>
      <w:r w:rsidR="00F80864">
        <w:t>immediately</w:t>
      </w:r>
      <w:r w:rsidR="009B41BB">
        <w:t xml:space="preserve"> following</w:t>
      </w:r>
      <w:r w:rsidRPr="00877B37">
        <w:t xml:space="preserve"> the introduction of </w:t>
      </w:r>
      <w:r w:rsidR="00520D2B">
        <w:t xml:space="preserve">tobacco </w:t>
      </w:r>
      <w:r w:rsidRPr="00877B37">
        <w:t>plain packaging</w:t>
      </w:r>
      <w:r w:rsidR="00F80864">
        <w:t xml:space="preserve"> in the short timeframe covered by the PIR</w:t>
      </w:r>
      <w:r w:rsidRPr="00877B37">
        <w:t xml:space="preserve">. They note </w:t>
      </w:r>
      <w:r>
        <w:t xml:space="preserve">tobacco </w:t>
      </w:r>
      <w:r w:rsidRPr="00877B37">
        <w:t xml:space="preserve">plain packaging was part of a comprehensive approach to assist with continuing the trend in </w:t>
      </w:r>
      <w:r w:rsidR="00951DE1">
        <w:t>the reduction of smoking rates.</w:t>
      </w:r>
    </w:p>
    <w:p w:rsidR="00A050D3" w:rsidRDefault="00A050D3" w:rsidP="00A050D3">
      <w:pPr>
        <w:pStyle w:val="BulletPoints"/>
        <w:numPr>
          <w:ilvl w:val="0"/>
          <w:numId w:val="0"/>
        </w:numPr>
        <w:ind w:left="357" w:hanging="357"/>
        <w:sectPr w:rsidR="00A050D3" w:rsidSect="00A050D3">
          <w:headerReference w:type="even" r:id="rId11"/>
          <w:headerReference w:type="default" r:id="rId12"/>
          <w:footerReference w:type="even" r:id="rId13"/>
          <w:footerReference w:type="default" r:id="rId14"/>
          <w:headerReference w:type="first" r:id="rId15"/>
          <w:footerReference w:type="first" r:id="rId16"/>
          <w:pgSz w:w="11907" w:h="16840" w:code="9"/>
          <w:pgMar w:top="1440" w:right="1440" w:bottom="1440" w:left="1440" w:header="720" w:footer="720" w:gutter="0"/>
          <w:pgNumType w:fmt="lowerRoman" w:start="1"/>
          <w:cols w:space="720"/>
          <w:titlePg/>
          <w:docGrid w:linePitch="360"/>
        </w:sectPr>
      </w:pPr>
    </w:p>
    <w:p w:rsidR="002E5FD7" w:rsidRPr="002E5FD7" w:rsidRDefault="006F4985" w:rsidP="0045561E">
      <w:pPr>
        <w:pStyle w:val="Heading1"/>
        <w:spacing w:before="60" w:after="60"/>
      </w:pPr>
      <w:bookmarkStart w:id="24" w:name="_Toc338749319"/>
      <w:bookmarkStart w:id="25" w:name="_Toc338749363"/>
      <w:bookmarkStart w:id="26" w:name="_Toc338749488"/>
      <w:bookmarkStart w:id="27" w:name="_Toc338757190"/>
      <w:bookmarkStart w:id="28" w:name="_Toc444007945"/>
      <w:bookmarkEnd w:id="0"/>
      <w:bookmarkEnd w:id="1"/>
      <w:bookmarkEnd w:id="2"/>
      <w:bookmarkEnd w:id="3"/>
      <w:bookmarkEnd w:id="4"/>
      <w:bookmarkEnd w:id="5"/>
      <w:bookmarkEnd w:id="6"/>
      <w:bookmarkEnd w:id="7"/>
      <w:bookmarkEnd w:id="8"/>
      <w:bookmarkEnd w:id="9"/>
      <w:bookmarkEnd w:id="19"/>
      <w:bookmarkEnd w:id="24"/>
      <w:bookmarkEnd w:id="25"/>
      <w:bookmarkEnd w:id="26"/>
      <w:bookmarkEnd w:id="27"/>
      <w:r w:rsidRPr="00724A9B">
        <w:lastRenderedPageBreak/>
        <w:t xml:space="preserve">Section 1: </w:t>
      </w:r>
      <w:r w:rsidR="00F82BC6" w:rsidRPr="00724A9B">
        <w:t>Introduction</w:t>
      </w:r>
      <w:bookmarkEnd w:id="28"/>
    </w:p>
    <w:p w:rsidR="00D8567E" w:rsidRPr="00BB329B" w:rsidRDefault="00D8567E" w:rsidP="0018586D">
      <w:pPr>
        <w:pStyle w:val="Heading2"/>
        <w:numPr>
          <w:ilvl w:val="1"/>
          <w:numId w:val="11"/>
        </w:numPr>
        <w:spacing w:before="60" w:after="60"/>
      </w:pPr>
      <w:bookmarkStart w:id="29" w:name="_Toc418770452"/>
      <w:bookmarkStart w:id="30" w:name="_Toc444007946"/>
      <w:r>
        <w:t xml:space="preserve">Purpose of </w:t>
      </w:r>
      <w:r w:rsidR="00090507">
        <w:t>stakeholder consultation</w:t>
      </w:r>
      <w:bookmarkEnd w:id="29"/>
      <w:bookmarkEnd w:id="30"/>
    </w:p>
    <w:p w:rsidR="006E20D6" w:rsidRDefault="006E20D6" w:rsidP="002457C2">
      <w:bookmarkStart w:id="31" w:name="_Toc426122301"/>
      <w:bookmarkStart w:id="32" w:name="_Toc427306680"/>
      <w:r w:rsidRPr="006E20D6">
        <w:t xml:space="preserve">The Department of Health commissioned Siggins Miller Consultants Pty Ltd (Siggins Miller) to undertake consultations with stakeholders that have or may have been affected by the tobacco plain packaging measure. The purpose of the consultation process was to gather views and supporting information about the impact of the implementation of the tobacco plain packaging measure on different stakeholder </w:t>
      </w:r>
      <w:proofErr w:type="gramStart"/>
      <w:r w:rsidRPr="006E20D6">
        <w:t>groups,</w:t>
      </w:r>
      <w:proofErr w:type="gramEnd"/>
      <w:r w:rsidRPr="006E20D6">
        <w:t xml:space="preserve"> inform a qualitative and quantitative cost benefit analysis of the measure and contribute costing data for the completion of the regulatory burden measurement tool.</w:t>
      </w:r>
      <w:bookmarkEnd w:id="31"/>
      <w:bookmarkEnd w:id="32"/>
    </w:p>
    <w:p w:rsidR="00DD102A" w:rsidRDefault="009A1F46" w:rsidP="0018586D">
      <w:pPr>
        <w:pStyle w:val="Heading2"/>
        <w:numPr>
          <w:ilvl w:val="1"/>
          <w:numId w:val="11"/>
        </w:numPr>
        <w:spacing w:before="60" w:after="60"/>
      </w:pPr>
      <w:bookmarkStart w:id="33" w:name="_Toc444007947"/>
      <w:r>
        <w:t>Consultation timeframes and methods</w:t>
      </w:r>
      <w:bookmarkEnd w:id="33"/>
    </w:p>
    <w:p w:rsidR="006E20D6" w:rsidRPr="006E20D6" w:rsidRDefault="00F939EA" w:rsidP="006E20D6">
      <w:r>
        <w:t xml:space="preserve">The targeted </w:t>
      </w:r>
      <w:r w:rsidRPr="006E20D6">
        <w:t xml:space="preserve">stakeholder consultation </w:t>
      </w:r>
      <w:r>
        <w:t xml:space="preserve">including face-to-face and telephone based interviews, </w:t>
      </w:r>
      <w:r w:rsidRPr="006E20D6">
        <w:t>and written submiss</w:t>
      </w:r>
      <w:r>
        <w:t>io</w:t>
      </w:r>
      <w:r w:rsidR="00182A33">
        <w:t>ns (online, email, hardcopy) were</w:t>
      </w:r>
      <w:r>
        <w:t xml:space="preserve"> undertaken </w:t>
      </w:r>
      <w:r w:rsidRPr="006E20D6">
        <w:t xml:space="preserve">over a period of six weeks from the </w:t>
      </w:r>
      <w:r w:rsidR="009E23BC">
        <w:t>16th February to the 27th March</w:t>
      </w:r>
      <w:r w:rsidRPr="006E20D6">
        <w:t xml:space="preserve"> 2015</w:t>
      </w:r>
      <w:r w:rsidR="009E23BC">
        <w:t>,</w:t>
      </w:r>
      <w:r>
        <w:t xml:space="preserve"> </w:t>
      </w:r>
      <w:r w:rsidR="00182A33">
        <w:t>and were</w:t>
      </w:r>
      <w:r w:rsidRPr="006E20D6">
        <w:t xml:space="preserve"> advertised in newspapers, via standardised information in organisation communications (e.g. newsletters, e-newsletters, communiqués) and via Twitter. </w:t>
      </w:r>
      <w:r w:rsidR="006E20D6" w:rsidRPr="006E20D6">
        <w:t>Key informant interviews were conducted with, and written submissions received from the tobacco industry (tobacco companies, wholesalers and importers, packaging manufacturers), retailers, public health organisations and experts, NGOs, government departments and consumers. A costing survey of tobacco industry representatives and government agencies was also undertaken du</w:t>
      </w:r>
      <w:r w:rsidR="00951DE1">
        <w:t>ring the same time period.</w:t>
      </w:r>
    </w:p>
    <w:p w:rsidR="006E20D6" w:rsidRDefault="006E20D6" w:rsidP="006E20D6">
      <w:r w:rsidRPr="006E20D6">
        <w:t>All major tobacco companies and major retailers were approached and invited to participate in consultations (including interviews, the written submission process and the costing survey), however, not all decided to contribute. For example, some stakeholders noted that they had previously engaged with the Department during the initial development and introduction of the tobacco plain packaging measure and therefore did not wish to participate in any additional consultation processes. Some also noted that due to work commitments their relevant teams were unavailable to participa</w:t>
      </w:r>
      <w:r w:rsidR="00951DE1">
        <w:t>te in the consultation process.</w:t>
      </w:r>
    </w:p>
    <w:p w:rsidR="006E20D6" w:rsidRPr="008851CF" w:rsidRDefault="006E20D6" w:rsidP="0018586D">
      <w:pPr>
        <w:pStyle w:val="Heading2"/>
        <w:numPr>
          <w:ilvl w:val="1"/>
          <w:numId w:val="11"/>
        </w:numPr>
        <w:spacing w:before="60" w:after="60"/>
      </w:pPr>
      <w:bookmarkStart w:id="34" w:name="_Toc444007948"/>
      <w:r w:rsidRPr="008851CF">
        <w:t>Consultation protocol and costing survey</w:t>
      </w:r>
      <w:bookmarkEnd w:id="34"/>
    </w:p>
    <w:p w:rsidR="006E20D6" w:rsidRDefault="006E20D6" w:rsidP="006E20D6">
      <w:pPr>
        <w:spacing w:before="60" w:after="60"/>
      </w:pPr>
      <w:r>
        <w:t>The protocol, designed in collaboration with the Department and in line with the requirements of the Office of Best Practice Regulation</w:t>
      </w:r>
      <w:r w:rsidR="005A3FB4">
        <w:t xml:space="preserve"> (OBPR)</w:t>
      </w:r>
      <w:r>
        <w:t>, sought to gain stakeholder</w:t>
      </w:r>
      <w:r w:rsidRPr="008851CF">
        <w:t>s</w:t>
      </w:r>
      <w:r>
        <w:t>’ views on</w:t>
      </w:r>
      <w:r w:rsidRPr="008851CF">
        <w:t xml:space="preserve"> the effectiveness and efficiency of the tobacco plain packaging measure in meeting the object</w:t>
      </w:r>
      <w:r>
        <w:t>ives</w:t>
      </w:r>
      <w:r w:rsidRPr="008851CF">
        <w:t xml:space="preserve"> of the Tobacco Plain Packaging Act </w:t>
      </w:r>
      <w:r w:rsidR="008C719A">
        <w:t xml:space="preserve">(TPP Act) </w:t>
      </w:r>
      <w:r w:rsidRPr="008851CF">
        <w:t xml:space="preserve">which are set out in Section 3 of the </w:t>
      </w:r>
      <w:r w:rsidR="008C719A">
        <w:t>TPP</w:t>
      </w:r>
      <w:r w:rsidRPr="008851CF">
        <w:t xml:space="preserve"> Act</w:t>
      </w:r>
      <w:r>
        <w:t>. These are:</w:t>
      </w:r>
    </w:p>
    <w:p w:rsidR="006E20D6" w:rsidRPr="008851CF" w:rsidRDefault="006E20D6" w:rsidP="00E906C8">
      <w:pPr>
        <w:tabs>
          <w:tab w:val="right" w:pos="1531"/>
        </w:tabs>
        <w:spacing w:before="60" w:after="60"/>
        <w:rPr>
          <w:rFonts w:cs="Times New Roman"/>
          <w:lang w:eastAsia="en-AU"/>
        </w:rPr>
      </w:pPr>
      <w:r w:rsidRPr="008851CF">
        <w:rPr>
          <w:rFonts w:cs="Times New Roman"/>
          <w:lang w:eastAsia="en-AU"/>
        </w:rPr>
        <w:t>“</w:t>
      </w:r>
      <w:r w:rsidRPr="008851CF">
        <w:rPr>
          <w:rFonts w:cs="Times New Roman"/>
          <w:b/>
          <w:bCs/>
          <w:lang w:eastAsia="en-AU"/>
        </w:rPr>
        <w:t>3 Objects of this Act</w:t>
      </w:r>
    </w:p>
    <w:p w:rsidR="00885A09" w:rsidRDefault="00E1532E" w:rsidP="00885A09">
      <w:pPr>
        <w:tabs>
          <w:tab w:val="clear" w:pos="357"/>
          <w:tab w:val="right" w:pos="1531"/>
        </w:tabs>
        <w:spacing w:before="60" w:after="60"/>
        <w:ind w:left="426" w:hanging="426"/>
        <w:rPr>
          <w:rFonts w:cs="Times New Roman"/>
          <w:lang w:eastAsia="en-AU"/>
        </w:rPr>
      </w:pPr>
      <w:r>
        <w:rPr>
          <w:rFonts w:cs="Times New Roman"/>
          <w:lang w:eastAsia="en-AU"/>
        </w:rPr>
        <w:t>(1)</w:t>
      </w:r>
      <w:r w:rsidR="00885A09">
        <w:rPr>
          <w:rFonts w:cs="Times New Roman"/>
          <w:lang w:eastAsia="en-AU"/>
        </w:rPr>
        <w:tab/>
      </w:r>
      <w:r w:rsidR="006E20D6" w:rsidRPr="008851CF">
        <w:rPr>
          <w:rFonts w:cs="Times New Roman"/>
          <w:lang w:eastAsia="en-AU"/>
        </w:rPr>
        <w:t>The objec</w:t>
      </w:r>
      <w:r w:rsidR="00951DE1">
        <w:rPr>
          <w:rFonts w:cs="Times New Roman"/>
          <w:lang w:eastAsia="en-AU"/>
        </w:rPr>
        <w:t>ts of this Act are:</w:t>
      </w:r>
    </w:p>
    <w:p w:rsidR="006E20D6" w:rsidRPr="008851CF" w:rsidRDefault="00885A09" w:rsidP="00885A09">
      <w:pPr>
        <w:tabs>
          <w:tab w:val="clear" w:pos="357"/>
        </w:tabs>
        <w:spacing w:before="60" w:after="60"/>
        <w:ind w:left="851" w:hanging="425"/>
        <w:rPr>
          <w:rFonts w:cs="Times New Roman"/>
          <w:lang w:eastAsia="en-AU"/>
        </w:rPr>
      </w:pPr>
      <w:r>
        <w:rPr>
          <w:rFonts w:cs="Times New Roman"/>
          <w:lang w:eastAsia="en-AU"/>
        </w:rPr>
        <w:t>(a)</w:t>
      </w:r>
      <w:r>
        <w:rPr>
          <w:rFonts w:cs="Times New Roman"/>
          <w:lang w:eastAsia="en-AU"/>
        </w:rPr>
        <w:tab/>
      </w:r>
      <w:proofErr w:type="gramStart"/>
      <w:r w:rsidR="006E20D6" w:rsidRPr="008851CF">
        <w:rPr>
          <w:rFonts w:cs="Times New Roman"/>
          <w:lang w:eastAsia="en-AU"/>
        </w:rPr>
        <w:t>to</w:t>
      </w:r>
      <w:proofErr w:type="gramEnd"/>
      <w:r w:rsidR="006E20D6" w:rsidRPr="008851CF">
        <w:rPr>
          <w:rFonts w:cs="Times New Roman"/>
          <w:lang w:eastAsia="en-AU"/>
        </w:rPr>
        <w:t xml:space="preserve"> improve public health by:</w:t>
      </w:r>
    </w:p>
    <w:p w:rsidR="006E20D6" w:rsidRPr="008851CF" w:rsidRDefault="00885A09" w:rsidP="00885A09">
      <w:pPr>
        <w:spacing w:before="60" w:after="60"/>
        <w:ind w:left="1276" w:hanging="425"/>
        <w:rPr>
          <w:rFonts w:cs="Times New Roman"/>
          <w:lang w:eastAsia="en-AU"/>
        </w:rPr>
      </w:pPr>
      <w:r>
        <w:rPr>
          <w:rFonts w:cs="Times New Roman"/>
          <w:lang w:eastAsia="en-AU"/>
        </w:rPr>
        <w:t>(</w:t>
      </w:r>
      <w:proofErr w:type="spellStart"/>
      <w:r>
        <w:rPr>
          <w:rFonts w:cs="Times New Roman"/>
          <w:lang w:eastAsia="en-AU"/>
        </w:rPr>
        <w:t>i</w:t>
      </w:r>
      <w:proofErr w:type="spellEnd"/>
      <w:r>
        <w:rPr>
          <w:rFonts w:cs="Times New Roman"/>
          <w:lang w:eastAsia="en-AU"/>
        </w:rPr>
        <w:t>)</w:t>
      </w:r>
      <w:r>
        <w:rPr>
          <w:rFonts w:cs="Times New Roman"/>
          <w:lang w:eastAsia="en-AU"/>
        </w:rPr>
        <w:tab/>
      </w:r>
      <w:proofErr w:type="gramStart"/>
      <w:r w:rsidR="006E20D6" w:rsidRPr="008851CF">
        <w:rPr>
          <w:rFonts w:cs="Times New Roman"/>
          <w:lang w:eastAsia="en-AU"/>
        </w:rPr>
        <w:t>discouraging</w:t>
      </w:r>
      <w:proofErr w:type="gramEnd"/>
      <w:r w:rsidR="006E20D6" w:rsidRPr="008851CF">
        <w:rPr>
          <w:rFonts w:cs="Times New Roman"/>
          <w:lang w:eastAsia="en-AU"/>
        </w:rPr>
        <w:t xml:space="preserve"> people from taking up smoking, or using tobacco products; and</w:t>
      </w:r>
    </w:p>
    <w:p w:rsidR="006E20D6" w:rsidRPr="008851CF" w:rsidRDefault="00885A09" w:rsidP="00885A09">
      <w:pPr>
        <w:spacing w:before="60" w:after="60"/>
        <w:ind w:left="1276" w:hanging="425"/>
        <w:rPr>
          <w:rFonts w:cs="Times New Roman"/>
          <w:lang w:eastAsia="en-AU"/>
        </w:rPr>
      </w:pPr>
      <w:r>
        <w:rPr>
          <w:rFonts w:cs="Times New Roman"/>
          <w:lang w:eastAsia="en-AU"/>
        </w:rPr>
        <w:t>(ii)</w:t>
      </w:r>
      <w:r>
        <w:rPr>
          <w:rFonts w:cs="Times New Roman"/>
          <w:lang w:eastAsia="en-AU"/>
        </w:rPr>
        <w:tab/>
      </w:r>
      <w:proofErr w:type="gramStart"/>
      <w:r w:rsidR="006E20D6" w:rsidRPr="008851CF">
        <w:rPr>
          <w:rFonts w:cs="Times New Roman"/>
          <w:lang w:eastAsia="en-AU"/>
        </w:rPr>
        <w:t>encouraging</w:t>
      </w:r>
      <w:proofErr w:type="gramEnd"/>
      <w:r w:rsidR="006E20D6" w:rsidRPr="008851CF">
        <w:rPr>
          <w:rFonts w:cs="Times New Roman"/>
          <w:lang w:eastAsia="en-AU"/>
        </w:rPr>
        <w:t xml:space="preserve"> people to give up smoking, and to stop using tobacco products; and</w:t>
      </w:r>
    </w:p>
    <w:p w:rsidR="00885A09" w:rsidRDefault="00885A09" w:rsidP="00885A09">
      <w:pPr>
        <w:spacing w:before="60" w:after="60"/>
        <w:ind w:left="1276" w:hanging="425"/>
        <w:rPr>
          <w:rFonts w:cs="Times New Roman"/>
          <w:lang w:eastAsia="en-AU"/>
        </w:rPr>
      </w:pPr>
      <w:r>
        <w:rPr>
          <w:rFonts w:cs="Times New Roman"/>
          <w:lang w:eastAsia="en-AU"/>
        </w:rPr>
        <w:t>(iii)</w:t>
      </w:r>
      <w:r>
        <w:rPr>
          <w:rFonts w:cs="Times New Roman"/>
          <w:lang w:eastAsia="en-AU"/>
        </w:rPr>
        <w:tab/>
      </w:r>
      <w:proofErr w:type="gramStart"/>
      <w:r w:rsidR="006E20D6" w:rsidRPr="008851CF">
        <w:rPr>
          <w:rFonts w:cs="Times New Roman"/>
          <w:lang w:eastAsia="en-AU"/>
        </w:rPr>
        <w:t>discouraging</w:t>
      </w:r>
      <w:proofErr w:type="gramEnd"/>
      <w:r w:rsidR="006E20D6" w:rsidRPr="008851CF">
        <w:rPr>
          <w:rFonts w:cs="Times New Roman"/>
          <w:lang w:eastAsia="en-AU"/>
        </w:rPr>
        <w:t xml:space="preserve"> people who have given up smoking, or who have stopped using tobacco products, from relapsing; and</w:t>
      </w:r>
    </w:p>
    <w:p w:rsidR="00885A09" w:rsidRDefault="00885A09" w:rsidP="00885A09">
      <w:pPr>
        <w:spacing w:before="60" w:after="60"/>
        <w:ind w:left="1276" w:hanging="425"/>
        <w:rPr>
          <w:rFonts w:cs="Times New Roman"/>
          <w:lang w:eastAsia="en-AU"/>
        </w:rPr>
      </w:pPr>
      <w:r>
        <w:rPr>
          <w:rFonts w:cs="Times New Roman"/>
          <w:lang w:eastAsia="en-AU"/>
        </w:rPr>
        <w:t>(iv)</w:t>
      </w:r>
      <w:r>
        <w:rPr>
          <w:rFonts w:cs="Times New Roman"/>
          <w:lang w:eastAsia="en-AU"/>
        </w:rPr>
        <w:tab/>
      </w:r>
      <w:proofErr w:type="gramStart"/>
      <w:r w:rsidR="006E20D6" w:rsidRPr="008851CF">
        <w:rPr>
          <w:rFonts w:cs="Times New Roman"/>
          <w:lang w:eastAsia="en-AU"/>
        </w:rPr>
        <w:t>reducing</w:t>
      </w:r>
      <w:proofErr w:type="gramEnd"/>
      <w:r w:rsidR="006E20D6" w:rsidRPr="008851CF">
        <w:rPr>
          <w:rFonts w:cs="Times New Roman"/>
          <w:lang w:eastAsia="en-AU"/>
        </w:rPr>
        <w:t xml:space="preserve"> people’s exposure to smoke from tobacco products; and</w:t>
      </w:r>
    </w:p>
    <w:p w:rsidR="006E20D6" w:rsidRPr="008851CF" w:rsidRDefault="00885A09" w:rsidP="00885A09">
      <w:pPr>
        <w:tabs>
          <w:tab w:val="clear" w:pos="357"/>
        </w:tabs>
        <w:spacing w:before="60" w:after="60"/>
        <w:ind w:left="851" w:hanging="425"/>
        <w:rPr>
          <w:rFonts w:cs="Times New Roman"/>
          <w:lang w:eastAsia="en-AU"/>
        </w:rPr>
      </w:pPr>
      <w:r>
        <w:rPr>
          <w:rFonts w:cs="Times New Roman"/>
          <w:lang w:eastAsia="en-AU"/>
        </w:rPr>
        <w:t>(b)</w:t>
      </w:r>
      <w:r>
        <w:rPr>
          <w:rFonts w:cs="Times New Roman"/>
          <w:lang w:eastAsia="en-AU"/>
        </w:rPr>
        <w:tab/>
      </w:r>
      <w:proofErr w:type="gramStart"/>
      <w:r w:rsidR="006E20D6" w:rsidRPr="008851CF">
        <w:rPr>
          <w:rFonts w:cs="Times New Roman"/>
          <w:lang w:eastAsia="en-AU"/>
        </w:rPr>
        <w:t>to</w:t>
      </w:r>
      <w:proofErr w:type="gramEnd"/>
      <w:r w:rsidR="006E20D6" w:rsidRPr="008851CF">
        <w:rPr>
          <w:rFonts w:cs="Times New Roman"/>
          <w:lang w:eastAsia="en-AU"/>
        </w:rPr>
        <w:t xml:space="preserve"> give effect to certain obligations that Australia has as a party to the Convention on Tobacco Control.</w:t>
      </w:r>
    </w:p>
    <w:p w:rsidR="006E20D6" w:rsidRPr="008851CF" w:rsidRDefault="00885A09" w:rsidP="00885A09">
      <w:pPr>
        <w:tabs>
          <w:tab w:val="clear" w:pos="357"/>
          <w:tab w:val="right" w:pos="1531"/>
        </w:tabs>
        <w:spacing w:before="60" w:after="60"/>
        <w:ind w:left="426" w:hanging="426"/>
        <w:rPr>
          <w:rFonts w:cs="Times New Roman"/>
          <w:lang w:eastAsia="en-AU"/>
        </w:rPr>
      </w:pPr>
      <w:r>
        <w:rPr>
          <w:rFonts w:cs="Times New Roman"/>
          <w:lang w:eastAsia="en-AU"/>
        </w:rPr>
        <w:lastRenderedPageBreak/>
        <w:t>(2)</w:t>
      </w:r>
      <w:r>
        <w:rPr>
          <w:rFonts w:cs="Times New Roman"/>
          <w:lang w:eastAsia="en-AU"/>
        </w:rPr>
        <w:tab/>
      </w:r>
      <w:r w:rsidR="006E20D6" w:rsidRPr="008851CF">
        <w:rPr>
          <w:rFonts w:cs="Times New Roman"/>
          <w:lang w:eastAsia="en-AU"/>
        </w:rPr>
        <w:t>It is the intention of the Parliament to contribute to achieving the objects in subsection (1) by regulating the retail packaging and appearance of tobacco products in order to:</w:t>
      </w:r>
    </w:p>
    <w:p w:rsidR="006E20D6" w:rsidRPr="008851CF" w:rsidRDefault="00885A09" w:rsidP="00885A09">
      <w:pPr>
        <w:tabs>
          <w:tab w:val="clear" w:pos="357"/>
        </w:tabs>
        <w:spacing w:before="60" w:after="60"/>
        <w:ind w:left="851" w:hanging="425"/>
        <w:rPr>
          <w:rFonts w:cs="Times New Roman"/>
          <w:lang w:eastAsia="en-AU"/>
        </w:rPr>
      </w:pPr>
      <w:r>
        <w:rPr>
          <w:rFonts w:cs="Times New Roman"/>
          <w:lang w:eastAsia="en-AU"/>
        </w:rPr>
        <w:t>(a)</w:t>
      </w:r>
      <w:r>
        <w:rPr>
          <w:rFonts w:cs="Times New Roman"/>
          <w:lang w:eastAsia="en-AU"/>
        </w:rPr>
        <w:tab/>
      </w:r>
      <w:proofErr w:type="gramStart"/>
      <w:r w:rsidR="006E20D6" w:rsidRPr="008851CF">
        <w:rPr>
          <w:rFonts w:cs="Times New Roman"/>
          <w:lang w:eastAsia="en-AU"/>
        </w:rPr>
        <w:t>reduce</w:t>
      </w:r>
      <w:proofErr w:type="gramEnd"/>
      <w:r w:rsidR="006E20D6" w:rsidRPr="008851CF">
        <w:rPr>
          <w:rFonts w:cs="Times New Roman"/>
          <w:lang w:eastAsia="en-AU"/>
        </w:rPr>
        <w:t xml:space="preserve"> the appeal of tobacco products to consumers; and</w:t>
      </w:r>
    </w:p>
    <w:p w:rsidR="006E20D6" w:rsidRPr="008851CF" w:rsidRDefault="006E20D6" w:rsidP="00885A09">
      <w:pPr>
        <w:tabs>
          <w:tab w:val="clear" w:pos="357"/>
          <w:tab w:val="right" w:pos="1531"/>
        </w:tabs>
        <w:spacing w:before="60" w:after="60"/>
        <w:ind w:left="851" w:hanging="425"/>
        <w:rPr>
          <w:rFonts w:cs="Times New Roman"/>
          <w:lang w:eastAsia="en-AU"/>
        </w:rPr>
      </w:pPr>
      <w:r w:rsidRPr="008851CF">
        <w:rPr>
          <w:rFonts w:cs="Times New Roman"/>
          <w:lang w:eastAsia="en-AU"/>
        </w:rPr>
        <w:t>(b)</w:t>
      </w:r>
      <w:r w:rsidR="00885A09">
        <w:rPr>
          <w:rFonts w:cs="Times New Roman"/>
          <w:lang w:eastAsia="en-AU"/>
        </w:rPr>
        <w:tab/>
      </w:r>
      <w:proofErr w:type="gramStart"/>
      <w:r w:rsidRPr="008851CF">
        <w:rPr>
          <w:rFonts w:cs="Times New Roman"/>
          <w:lang w:eastAsia="en-AU"/>
        </w:rPr>
        <w:t>increase</w:t>
      </w:r>
      <w:proofErr w:type="gramEnd"/>
      <w:r w:rsidRPr="008851CF">
        <w:rPr>
          <w:rFonts w:cs="Times New Roman"/>
          <w:lang w:eastAsia="en-AU"/>
        </w:rPr>
        <w:t xml:space="preserve"> the effectiveness of health warnings on the retail packaging of tobacco products; and</w:t>
      </w:r>
    </w:p>
    <w:p w:rsidR="006E20D6" w:rsidRPr="008851CF" w:rsidRDefault="00986DA4" w:rsidP="00986DA4">
      <w:pPr>
        <w:tabs>
          <w:tab w:val="clear" w:pos="357"/>
          <w:tab w:val="right" w:pos="1531"/>
        </w:tabs>
        <w:spacing w:before="60" w:after="60"/>
        <w:ind w:left="851" w:hanging="425"/>
        <w:rPr>
          <w:rFonts w:cs="Times New Roman"/>
          <w:lang w:eastAsia="en-AU"/>
        </w:rPr>
      </w:pPr>
      <w:r>
        <w:rPr>
          <w:rFonts w:cs="Times New Roman"/>
          <w:lang w:eastAsia="en-AU"/>
        </w:rPr>
        <w:t>(c)</w:t>
      </w:r>
      <w:r>
        <w:rPr>
          <w:rFonts w:cs="Times New Roman"/>
          <w:lang w:eastAsia="en-AU"/>
        </w:rPr>
        <w:tab/>
      </w:r>
      <w:proofErr w:type="gramStart"/>
      <w:r w:rsidR="006E20D6" w:rsidRPr="008851CF">
        <w:rPr>
          <w:rFonts w:cs="Times New Roman"/>
          <w:lang w:eastAsia="en-AU"/>
        </w:rPr>
        <w:t>reduce</w:t>
      </w:r>
      <w:proofErr w:type="gramEnd"/>
      <w:r w:rsidR="006E20D6" w:rsidRPr="008851CF">
        <w:rPr>
          <w:rFonts w:cs="Times New Roman"/>
          <w:lang w:eastAsia="en-AU"/>
        </w:rPr>
        <w:t xml:space="preserve"> the ability of the retail packaging of tobacco products to mislead consumers about the harmful effects of smoking or using tobacco products.”</w:t>
      </w:r>
    </w:p>
    <w:p w:rsidR="006E20D6" w:rsidRPr="008851CF" w:rsidRDefault="006E20D6" w:rsidP="00FA5605">
      <w:pPr>
        <w:pStyle w:val="Heading3"/>
      </w:pPr>
      <w:bookmarkStart w:id="35" w:name="_Toc426122304"/>
      <w:bookmarkStart w:id="36" w:name="_Toc427306683"/>
      <w:r w:rsidRPr="0012656E">
        <w:t>Limitations of the methods and findings</w:t>
      </w:r>
      <w:bookmarkEnd w:id="35"/>
      <w:bookmarkEnd w:id="36"/>
    </w:p>
    <w:p w:rsidR="006E20D6" w:rsidRDefault="006E20D6" w:rsidP="00FA5605">
      <w:r>
        <w:t>In reading this report and interpreting and giving weight to the views documented within it the following cautions should be noted:</w:t>
      </w:r>
    </w:p>
    <w:p w:rsidR="00425202" w:rsidRDefault="00DD7841" w:rsidP="00EC02D0">
      <w:pPr>
        <w:pStyle w:val="Bullet"/>
      </w:pPr>
      <w:r>
        <w:t>W</w:t>
      </w:r>
      <w:r w:rsidR="00595B14" w:rsidRPr="00595B14">
        <w:t>hile the mix of methods commissioned (telephone and face to face interviews, the opportunity to provide written input and supply supporting data and the invitation to all relevant stakeholders to contribute to the costing st</w:t>
      </w:r>
      <w:r w:rsidR="00593796">
        <w:t xml:space="preserve">udy) was comprehensive and </w:t>
      </w:r>
      <w:proofErr w:type="spellStart"/>
      <w:r w:rsidR="00593796">
        <w:t xml:space="preserve">well </w:t>
      </w:r>
      <w:r w:rsidR="00023011">
        <w:t>advertised</w:t>
      </w:r>
      <w:proofErr w:type="spellEnd"/>
      <w:r w:rsidR="00023011">
        <w:t>,</w:t>
      </w:r>
      <w:r w:rsidR="00595B14" w:rsidRPr="00595B14">
        <w:t xml:space="preserve"> it may be that some industry or public health stakeholders who hold different views have not contributed</w:t>
      </w:r>
      <w:r>
        <w:t>;</w:t>
      </w:r>
    </w:p>
    <w:p w:rsidR="00CB3220" w:rsidRPr="00182A33" w:rsidRDefault="002C1933" w:rsidP="00EC02D0">
      <w:pPr>
        <w:pStyle w:val="Bullet"/>
      </w:pPr>
      <w:r w:rsidRPr="002C1933">
        <w:t>The call for written submissions was commissioned for the purpose of informing the PIR. It was designed to include as many people who were interested in expressing a view to government. As such, it is not representative</w:t>
      </w:r>
      <w:r>
        <w:t xml:space="preserve"> of the Australian population</w:t>
      </w:r>
      <w:r w:rsidR="00DD7841">
        <w:t>;</w:t>
      </w:r>
    </w:p>
    <w:p w:rsidR="00D135D3" w:rsidRPr="00B4044C" w:rsidRDefault="00B4044C" w:rsidP="00EC02D0">
      <w:pPr>
        <w:pStyle w:val="Bullet"/>
      </w:pPr>
      <w:r>
        <w:t>In the online written submissions of the</w:t>
      </w:r>
      <w:r w:rsidR="00B7206E" w:rsidRPr="00E97249">
        <w:t xml:space="preserve"> 412 respondents who identified as consumers, 366 (88.83%) were current smokers, 31 (7.52%) were not current smokers and 15 (3.64%) did not specify their smoking status. </w:t>
      </w:r>
      <w:r w:rsidR="00B7206E">
        <w:t>Twenty-three</w:t>
      </w:r>
      <w:r w:rsidR="00B7206E" w:rsidRPr="00E97249">
        <w:t xml:space="preserve"> (5.58%)</w:t>
      </w:r>
      <w:r w:rsidR="00B7206E">
        <w:t xml:space="preserve"> consumers</w:t>
      </w:r>
      <w:r w:rsidR="00B7206E" w:rsidRPr="00E97249">
        <w:t xml:space="preserve"> indicated they had smoked in the past and 9 (2.18%)</w:t>
      </w:r>
      <w:r w:rsidR="00B7206E">
        <w:t xml:space="preserve"> consumers</w:t>
      </w:r>
      <w:r w:rsidR="00B7206E" w:rsidRPr="00E97249">
        <w:t xml:space="preserve"> indicated they had not smoked </w:t>
      </w:r>
      <w:r w:rsidR="00B7206E">
        <w:t>in the past</w:t>
      </w:r>
      <w:r w:rsidR="00B7206E" w:rsidRPr="00E97249">
        <w:t xml:space="preserve">. </w:t>
      </w:r>
      <w:r w:rsidR="006E20D6" w:rsidRPr="00B4044C">
        <w:t xml:space="preserve">This proportion is not representative of the general </w:t>
      </w:r>
      <w:r w:rsidR="00DD7841" w:rsidRPr="00B4044C">
        <w:t>population’s smoking behaviour;</w:t>
      </w:r>
    </w:p>
    <w:p w:rsidR="006E20D6" w:rsidRPr="00D135D3" w:rsidRDefault="00DD7841" w:rsidP="00EC02D0">
      <w:pPr>
        <w:pStyle w:val="Bullet"/>
        <w:spacing w:before="80" w:after="80"/>
        <w:rPr>
          <w:rFonts w:cs="Times New Roman"/>
          <w:szCs w:val="24"/>
        </w:rPr>
      </w:pPr>
      <w:r>
        <w:rPr>
          <w:rFonts w:cs="Times New Roman"/>
          <w:szCs w:val="24"/>
        </w:rPr>
        <w:t>Consumer</w:t>
      </w:r>
      <w:r w:rsidR="00D135D3" w:rsidRPr="008C4A09">
        <w:rPr>
          <w:rFonts w:cs="Times New Roman"/>
          <w:szCs w:val="24"/>
        </w:rPr>
        <w:t xml:space="preserve"> ratings need to be interpreted with caution</w:t>
      </w:r>
      <w:r w:rsidR="00D23E4D">
        <w:rPr>
          <w:rFonts w:cs="Times New Roman"/>
          <w:szCs w:val="24"/>
        </w:rPr>
        <w:t>,</w:t>
      </w:r>
      <w:r w:rsidR="00D135D3" w:rsidRPr="008C4A09">
        <w:rPr>
          <w:rFonts w:cs="Times New Roman"/>
          <w:szCs w:val="24"/>
        </w:rPr>
        <w:t xml:space="preserve"> mindful of the fact that this group expressed personal opinion only and did not seek to provide data or refer to sources which they believe supported their view. In contrast, public health organisations and experts, government departments, NGOs, tobacco companies and some retailers referred to data and other sources which they believe supported their view. These sources included evidence from peer reviewed journals, government reports, ABS and other data (e.g. Aztec sales data), opinion pi</w:t>
      </w:r>
      <w:r>
        <w:rPr>
          <w:rFonts w:cs="Times New Roman"/>
          <w:szCs w:val="24"/>
        </w:rPr>
        <w:t>eces and commissioned research;</w:t>
      </w:r>
    </w:p>
    <w:p w:rsidR="006E20D6" w:rsidRPr="006E50B7" w:rsidRDefault="00DD7841" w:rsidP="00EC02D0">
      <w:pPr>
        <w:pStyle w:val="Bullet"/>
      </w:pPr>
      <w:r>
        <w:t>T</w:t>
      </w:r>
      <w:r w:rsidR="006E20D6" w:rsidRPr="006E50B7">
        <w:t>he sources referred to or cited by various stakeholders have not been checked/verified for accuracy (i.e. original data sets were not provided to Siggins Miller to review and confirm). However, where sources are in peer re</w:t>
      </w:r>
      <w:r w:rsidR="0042257F">
        <w:t>viewed journals we indicate this</w:t>
      </w:r>
      <w:r>
        <w:t xml:space="preserve"> in the citations provided;</w:t>
      </w:r>
    </w:p>
    <w:p w:rsidR="006E20D6" w:rsidRDefault="00DD7841" w:rsidP="00EC02D0">
      <w:pPr>
        <w:pStyle w:val="Bullet"/>
      </w:pPr>
      <w:r>
        <w:t>T</w:t>
      </w:r>
      <w:r w:rsidR="0042257F">
        <w:t xml:space="preserve">he consultants were </w:t>
      </w:r>
      <w:r w:rsidR="006E20D6" w:rsidRPr="006E50B7">
        <w:t>not commissioned to make judgements about the credibility of the stakeholders who participated in th</w:t>
      </w:r>
      <w:r w:rsidR="00D23E4D">
        <w:t>e consultation process and make</w:t>
      </w:r>
      <w:r w:rsidR="006E20D6" w:rsidRPr="006E50B7">
        <w:t xml:space="preserve"> no attempt to do so, it provides only the synthesis of themes that arise from answers given</w:t>
      </w:r>
      <w:r w:rsidR="00FD3D96">
        <w:t xml:space="preserve"> to the questions</w:t>
      </w:r>
      <w:r w:rsidR="0042257F">
        <w:t xml:space="preserve"> commissioned</w:t>
      </w:r>
      <w:r>
        <w:t>;</w:t>
      </w:r>
    </w:p>
    <w:p w:rsidR="006E20D6" w:rsidRDefault="00DD7841" w:rsidP="00EC02D0">
      <w:pPr>
        <w:pStyle w:val="Bullet"/>
      </w:pPr>
      <w:r>
        <w:t>It</w:t>
      </w:r>
      <w:r w:rsidR="006E20D6" w:rsidRPr="006E50B7">
        <w:t xml:space="preserve"> is often the case that there are different views or different strength of views expressed within stakeholder groups. For example, responses from some retailers may be inconsistent or conflict with responses from other retailers, or the views of health-related NGOs may be different to the views</w:t>
      </w:r>
      <w:r w:rsidR="00560281">
        <w:t xml:space="preserve"> of public health organisations;</w:t>
      </w:r>
    </w:p>
    <w:p w:rsidR="000D615A" w:rsidRPr="000D615A" w:rsidRDefault="00560281" w:rsidP="00EC02D0">
      <w:pPr>
        <w:pStyle w:val="Bullet"/>
        <w:spacing w:before="80" w:after="80"/>
        <w:rPr>
          <w:rFonts w:cs="Times New Roman"/>
          <w:szCs w:val="24"/>
        </w:rPr>
      </w:pPr>
      <w:r>
        <w:t>S</w:t>
      </w:r>
      <w:r w:rsidR="000D615A" w:rsidRPr="008C4A09">
        <w:t>ome stakeholders provided a rating but did not provide a qualitative explanation</w:t>
      </w:r>
      <w:r>
        <w:t>;</w:t>
      </w:r>
    </w:p>
    <w:p w:rsidR="000D615A" w:rsidRPr="008C4A09" w:rsidRDefault="00560281" w:rsidP="00EC02D0">
      <w:pPr>
        <w:pStyle w:val="Bullet"/>
        <w:spacing w:before="80" w:after="80"/>
      </w:pPr>
      <w:r>
        <w:t>S</w:t>
      </w:r>
      <w:r w:rsidR="000D615A" w:rsidRPr="008C4A09">
        <w:t>ome stakeholders did not provide a rating but did provide a qualitative response</w:t>
      </w:r>
      <w:r>
        <w:t>;</w:t>
      </w:r>
    </w:p>
    <w:p w:rsidR="000D615A" w:rsidRPr="000D615A" w:rsidRDefault="00560281" w:rsidP="00EC02D0">
      <w:pPr>
        <w:pStyle w:val="Bullet"/>
        <w:spacing w:before="80" w:after="80"/>
      </w:pPr>
      <w:r>
        <w:lastRenderedPageBreak/>
        <w:t>S</w:t>
      </w:r>
      <w:r w:rsidR="000D615A">
        <w:t xml:space="preserve">ome stakeholders provided qualitative responses which did not reflect their quantitative response (e.g. </w:t>
      </w:r>
      <w:r w:rsidR="000D615A" w:rsidRPr="00F66F2B">
        <w:t xml:space="preserve">a respondent may have provided a </w:t>
      </w:r>
      <w:r w:rsidR="000D615A">
        <w:t xml:space="preserve">negative </w:t>
      </w:r>
      <w:r w:rsidR="000D615A" w:rsidRPr="00F66F2B">
        <w:t>rating, however, their explanation suggested that they did in fact believe that the measure had a modest impact</w:t>
      </w:r>
      <w:r w:rsidR="000D615A">
        <w:t>; or a respondent provided a positive rating but their explanation suggested that the measure did not have an impact)</w:t>
      </w:r>
      <w:r>
        <w:t>;</w:t>
      </w:r>
    </w:p>
    <w:p w:rsidR="000D615A" w:rsidRPr="008C4A09" w:rsidRDefault="00560281" w:rsidP="00EC02D0">
      <w:pPr>
        <w:pStyle w:val="Bullet"/>
        <w:spacing w:before="80" w:after="80"/>
      </w:pPr>
      <w:r w:rsidRPr="008C4A09">
        <w:t>Some</w:t>
      </w:r>
      <w:r w:rsidR="000D615A" w:rsidRPr="008C4A09">
        <w:t xml:space="preserve"> stakeholders provided qualitative responses which did not relate to the specific objective/question. These responses were still included in the analysis and are presented under the relevant objective i</w:t>
      </w:r>
      <w:r>
        <w:t>n other sections of this report;</w:t>
      </w:r>
      <w:r w:rsidR="000D615A" w:rsidRPr="008C4A09">
        <w:t xml:space="preserve"> </w:t>
      </w:r>
      <w:r>
        <w:t>and</w:t>
      </w:r>
    </w:p>
    <w:p w:rsidR="000D615A" w:rsidRPr="000D615A" w:rsidRDefault="00560281" w:rsidP="00EC02D0">
      <w:pPr>
        <w:pStyle w:val="Bullet"/>
        <w:spacing w:before="80" w:after="80"/>
      </w:pPr>
      <w:r w:rsidRPr="002C2EFE">
        <w:t>Some</w:t>
      </w:r>
      <w:r w:rsidR="000D615A" w:rsidRPr="002C2EFE">
        <w:t xml:space="preserve"> stakeholders used some or all questions as an opportunity to put forward views which did not relate to any of the questions</w:t>
      </w:r>
      <w:r w:rsidR="000D615A">
        <w:t xml:space="preserve"> asked</w:t>
      </w:r>
      <w:r w:rsidR="000D615A" w:rsidRPr="002C2EFE">
        <w:t xml:space="preserve">. These responses have been </w:t>
      </w:r>
      <w:r w:rsidR="000D615A">
        <w:t>presented in Section 3 of this</w:t>
      </w:r>
      <w:r w:rsidR="000D615A" w:rsidRPr="002C2EFE">
        <w:t xml:space="preserve"> report</w:t>
      </w:r>
      <w:r>
        <w:t>.</w:t>
      </w:r>
    </w:p>
    <w:p w:rsidR="00FA5605" w:rsidRPr="00FA5605" w:rsidRDefault="00FA5605" w:rsidP="0018586D">
      <w:pPr>
        <w:pStyle w:val="Heading2"/>
        <w:numPr>
          <w:ilvl w:val="1"/>
          <w:numId w:val="11"/>
        </w:numPr>
        <w:spacing w:before="60" w:after="60"/>
      </w:pPr>
      <w:bookmarkStart w:id="37" w:name="_Toc444007949"/>
      <w:r w:rsidRPr="00FA5605">
        <w:t>Feedback on the consultation process</w:t>
      </w:r>
      <w:bookmarkEnd w:id="37"/>
    </w:p>
    <w:p w:rsidR="00FA5605" w:rsidRPr="00352E39" w:rsidRDefault="00FA5605" w:rsidP="00FA5605">
      <w:pPr>
        <w:rPr>
          <w:rFonts w:cs="Times New Roman"/>
        </w:rPr>
      </w:pPr>
      <w:r w:rsidRPr="008851CF">
        <w:rPr>
          <w:rFonts w:cs="Times New Roman"/>
        </w:rPr>
        <w:t xml:space="preserve">As part of OBPR requirements, all </w:t>
      </w:r>
      <w:r w:rsidR="00F0201B">
        <w:rPr>
          <w:rFonts w:cs="Times New Roman"/>
        </w:rPr>
        <w:t>stakeholders</w:t>
      </w:r>
      <w:r w:rsidRPr="008851CF">
        <w:rPr>
          <w:rFonts w:cs="Times New Roman"/>
        </w:rPr>
        <w:t xml:space="preserve"> were asked to comment on the extent to which they were satisfied with the consultation process.</w:t>
      </w:r>
      <w:r w:rsidR="00827143">
        <w:rPr>
          <w:rFonts w:cs="Times New Roman"/>
        </w:rPr>
        <w:t xml:space="preserve"> These </w:t>
      </w:r>
      <w:r w:rsidR="00256FC4">
        <w:rPr>
          <w:rFonts w:cs="Times New Roman"/>
        </w:rPr>
        <w:t>question</w:t>
      </w:r>
      <w:r w:rsidR="00D76BFE">
        <w:rPr>
          <w:rFonts w:cs="Times New Roman"/>
        </w:rPr>
        <w:t>s were</w:t>
      </w:r>
      <w:r w:rsidR="00827143">
        <w:rPr>
          <w:rFonts w:cs="Times New Roman"/>
        </w:rPr>
        <w:t xml:space="preserve"> only</w:t>
      </w:r>
      <w:r w:rsidR="00256FC4">
        <w:rPr>
          <w:rFonts w:cs="Times New Roman"/>
        </w:rPr>
        <w:t xml:space="preserve"> asked of those</w:t>
      </w:r>
      <w:r w:rsidR="00D76BFE" w:rsidRPr="00D76BFE">
        <w:t xml:space="preserve"> </w:t>
      </w:r>
      <w:r w:rsidR="00D76BFE">
        <w:t xml:space="preserve">stakeholders </w:t>
      </w:r>
      <w:r w:rsidR="00D76BFE">
        <w:rPr>
          <w:rFonts w:cs="Times New Roman"/>
        </w:rPr>
        <w:t xml:space="preserve">able to </w:t>
      </w:r>
      <w:r w:rsidR="00D76BFE" w:rsidRPr="00D76BFE">
        <w:rPr>
          <w:rFonts w:cs="Times New Roman"/>
        </w:rPr>
        <w:t>comment on the detail of the impact of tobacco plain packaging on the achievement of objectives</w:t>
      </w:r>
      <w:r w:rsidR="00D76BFE">
        <w:rPr>
          <w:rFonts w:cs="Times New Roman"/>
        </w:rPr>
        <w:t xml:space="preserve"> (i.e. excludes </w:t>
      </w:r>
      <w:r w:rsidR="00D76BFE" w:rsidRPr="008851CF">
        <w:rPr>
          <w:szCs w:val="18"/>
        </w:rPr>
        <w:t>Commonwealth government department representatives</w:t>
      </w:r>
      <w:r w:rsidR="00D76BFE">
        <w:rPr>
          <w:szCs w:val="18"/>
        </w:rPr>
        <w:t xml:space="preserve">, please </w:t>
      </w:r>
      <w:r w:rsidR="00D76BFE" w:rsidRPr="00BC24EB">
        <w:rPr>
          <w:szCs w:val="18"/>
        </w:rPr>
        <w:t xml:space="preserve">refer to </w:t>
      </w:r>
      <w:r w:rsidR="00BC24EB" w:rsidRPr="00BC24EB">
        <w:rPr>
          <w:szCs w:val="18"/>
        </w:rPr>
        <w:t>page 5</w:t>
      </w:r>
      <w:r w:rsidR="00D76BFE" w:rsidRPr="00BC24EB">
        <w:rPr>
          <w:szCs w:val="18"/>
        </w:rPr>
        <w:t xml:space="preserve"> for more detail</w:t>
      </w:r>
      <w:r w:rsidR="00D76BFE" w:rsidRPr="00BC24EB">
        <w:rPr>
          <w:rFonts w:cs="Times New Roman"/>
        </w:rPr>
        <w:t>). T</w:t>
      </w:r>
      <w:r w:rsidRPr="00BC24EB">
        <w:rPr>
          <w:rFonts w:cs="Times New Roman"/>
        </w:rPr>
        <w:t xml:space="preserve">he results of this question are presented in </w:t>
      </w:r>
      <w:r w:rsidR="00F0201B" w:rsidRPr="00BC24EB">
        <w:rPr>
          <w:rFonts w:cs="Times New Roman"/>
        </w:rPr>
        <w:t>T</w:t>
      </w:r>
      <w:r w:rsidR="00352E39" w:rsidRPr="00BC24EB">
        <w:rPr>
          <w:rFonts w:cs="Times New Roman"/>
        </w:rPr>
        <w:t>able 1</w:t>
      </w:r>
      <w:r w:rsidRPr="00BC24EB">
        <w:rPr>
          <w:rFonts w:cs="Times New Roman"/>
        </w:rPr>
        <w:t xml:space="preserve"> and described below.</w:t>
      </w:r>
    </w:p>
    <w:p w:rsidR="00FA5605" w:rsidRDefault="00352E39" w:rsidP="008937F2">
      <w:pPr>
        <w:pStyle w:val="TblHeading"/>
      </w:pPr>
      <w:proofErr w:type="gramStart"/>
      <w:r w:rsidRPr="00352E39">
        <w:t>Table 1</w:t>
      </w:r>
      <w:r w:rsidR="00F0201B" w:rsidRPr="00352E39">
        <w:t>.</w:t>
      </w:r>
      <w:proofErr w:type="gramEnd"/>
      <w:r w:rsidR="00F0201B" w:rsidRPr="00352E39">
        <w:t xml:space="preserve"> </w:t>
      </w:r>
      <w:r w:rsidR="00FA5605" w:rsidRPr="00352E39">
        <w:t>S</w:t>
      </w:r>
      <w:r w:rsidR="007915EE">
        <w:t>takeholder</w:t>
      </w:r>
      <w:r w:rsidR="00FA5605" w:rsidRPr="00352E39">
        <w:t>s</w:t>
      </w:r>
      <w:r w:rsidR="007915EE">
        <w:t>’</w:t>
      </w:r>
      <w:r w:rsidR="00FA5605" w:rsidRPr="00F0201B">
        <w:t xml:space="preserve"> satisfactio</w:t>
      </w:r>
      <w:r w:rsidR="00951DE1">
        <w:t>n with the consultation process</w:t>
      </w:r>
    </w:p>
    <w:tbl>
      <w:tblPr>
        <w:tblW w:w="4831" w:type="pct"/>
        <w:tblInd w:w="108" w:type="dxa"/>
        <w:tblLayout w:type="fixed"/>
        <w:tblCellMar>
          <w:left w:w="0" w:type="dxa"/>
          <w:right w:w="0" w:type="dxa"/>
        </w:tblCellMar>
        <w:tblLook w:val="04A0" w:firstRow="1" w:lastRow="0" w:firstColumn="1" w:lastColumn="0" w:noHBand="0" w:noVBand="1"/>
        <w:tblDescription w:val="Table 1 shows stakeholders' satisfaction with the consultation process.  It has five columns.  Read across for stakeholder group, positive result (satisfied or highly satisfied), negative result (unhappy or very unhappy), neutral, and no response provided.  Data is presented in the format n/m where n is the number of stakeholders giving the particular response and m is the total number of stakeholders in the relevant stakeholder group.  Those stakeholders who did not provide a quantitative rating have been included in the denominator as some did go on to provide qualitative responses."/>
      </w:tblPr>
      <w:tblGrid>
        <w:gridCol w:w="2269"/>
        <w:gridCol w:w="1843"/>
        <w:gridCol w:w="1559"/>
        <w:gridCol w:w="1559"/>
        <w:gridCol w:w="1700"/>
      </w:tblGrid>
      <w:tr w:rsidR="007C79C2" w:rsidRPr="00FE7970" w:rsidTr="00375A41">
        <w:trPr>
          <w:trHeight w:val="704"/>
          <w:tblHeader/>
        </w:trPr>
        <w:tc>
          <w:tcPr>
            <w:tcW w:w="1270" w:type="pct"/>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hideMark/>
          </w:tcPr>
          <w:p w:rsidR="007C79C2" w:rsidRPr="00FE7970" w:rsidRDefault="007C79C2" w:rsidP="008A4A6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Stakeholder group</w:t>
            </w:r>
          </w:p>
        </w:tc>
        <w:tc>
          <w:tcPr>
            <w:tcW w:w="103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7C79C2" w:rsidRPr="00FE7970" w:rsidRDefault="007C79C2" w:rsidP="000B5EF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Positive result (</w:t>
            </w:r>
            <w:r w:rsidR="00B07DD1">
              <w:rPr>
                <w:rFonts w:cs="Times New Roman"/>
                <w:b/>
                <w:bCs/>
                <w:color w:val="000000"/>
                <w:sz w:val="18"/>
                <w:szCs w:val="18"/>
                <w:lang w:eastAsia="en-AU"/>
              </w:rPr>
              <w:t>satisfied/highly satisfied</w:t>
            </w:r>
            <w:r w:rsidRPr="00FE7970">
              <w:rPr>
                <w:rFonts w:cs="Times New Roman"/>
                <w:b/>
                <w:bCs/>
                <w:color w:val="000000"/>
                <w:sz w:val="18"/>
                <w:szCs w:val="18"/>
                <w:lang w:eastAsia="en-AU"/>
              </w:rPr>
              <w:t>)</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7C79C2" w:rsidRPr="00FE7970" w:rsidRDefault="007C79C2" w:rsidP="000B5EF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Negative result (</w:t>
            </w:r>
            <w:r w:rsidR="00B07DD1">
              <w:rPr>
                <w:rFonts w:cs="Times New Roman"/>
                <w:b/>
                <w:bCs/>
                <w:color w:val="000000"/>
                <w:sz w:val="18"/>
                <w:szCs w:val="18"/>
                <w:lang w:eastAsia="en-AU"/>
              </w:rPr>
              <w:t>unhappy/very unhappy</w:t>
            </w:r>
            <w:r w:rsidRPr="00FE7970">
              <w:rPr>
                <w:rFonts w:cs="Times New Roman"/>
                <w:b/>
                <w:bCs/>
                <w:color w:val="000000"/>
                <w:sz w:val="18"/>
                <w:szCs w:val="18"/>
                <w:lang w:eastAsia="en-AU"/>
              </w:rPr>
              <w:t xml:space="preserve">) </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7C79C2" w:rsidRPr="00FE7970" w:rsidRDefault="00B07DD1" w:rsidP="008A4A6B">
            <w:pPr>
              <w:spacing w:before="0" w:after="0"/>
              <w:jc w:val="center"/>
              <w:rPr>
                <w:rFonts w:cs="Times New Roman"/>
                <w:b/>
                <w:bCs/>
                <w:color w:val="000000"/>
                <w:sz w:val="18"/>
                <w:szCs w:val="18"/>
                <w:lang w:eastAsia="en-AU"/>
              </w:rPr>
            </w:pPr>
            <w:r>
              <w:rPr>
                <w:rFonts w:cs="Times New Roman"/>
                <w:b/>
                <w:bCs/>
                <w:color w:val="000000"/>
                <w:sz w:val="18"/>
                <w:szCs w:val="18"/>
                <w:lang w:eastAsia="en-AU"/>
              </w:rPr>
              <w:t>Neutral</w:t>
            </w:r>
            <w:r w:rsidR="007C79C2" w:rsidRPr="00FE7970">
              <w:rPr>
                <w:rFonts w:cs="Times New Roman"/>
                <w:b/>
                <w:bCs/>
                <w:color w:val="000000"/>
                <w:sz w:val="18"/>
                <w:szCs w:val="18"/>
                <w:lang w:eastAsia="en-AU"/>
              </w:rPr>
              <w:t xml:space="preserve"> </w:t>
            </w:r>
          </w:p>
        </w:tc>
        <w:tc>
          <w:tcPr>
            <w:tcW w:w="95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7C79C2" w:rsidRPr="00FE7970" w:rsidRDefault="007C79C2" w:rsidP="008A4A6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No Response Provided</w:t>
            </w:r>
            <w:r w:rsidRPr="00FE7970">
              <w:rPr>
                <w:rStyle w:val="FootnoteReference"/>
                <w:rFonts w:cs="Times New Roman"/>
                <w:b/>
                <w:color w:val="000000"/>
                <w:sz w:val="18"/>
                <w:szCs w:val="18"/>
                <w:lang w:eastAsia="en-AU"/>
              </w:rPr>
              <w:footnoteReference w:customMarkFollows="1" w:id="1"/>
              <w:t>[1]</w:t>
            </w:r>
          </w:p>
        </w:tc>
      </w:tr>
      <w:tr w:rsidR="00202F13" w:rsidRPr="00FE7970" w:rsidTr="007C79C2">
        <w:trPr>
          <w:trHeight w:val="572"/>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Public Health Organisations/Experts</w:t>
            </w:r>
          </w:p>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(n=2</w:t>
            </w:r>
            <w:r w:rsidR="00ED6641">
              <w:rPr>
                <w:rFonts w:cs="Times New Roman"/>
                <w:color w:val="000000"/>
                <w:sz w:val="18"/>
                <w:szCs w:val="18"/>
                <w:lang w:eastAsia="en-AU"/>
              </w:rPr>
              <w:t>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color w:val="000000"/>
                <w:sz w:val="18"/>
                <w:szCs w:val="18"/>
                <w:lang w:eastAsia="en-AU"/>
              </w:rPr>
              <w:t>17/</w:t>
            </w:r>
            <w:r w:rsidR="001C537C">
              <w:rPr>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ED6641" w:rsidP="00202F13">
            <w:pPr>
              <w:spacing w:after="0"/>
              <w:jc w:val="center"/>
              <w:rPr>
                <w:rFonts w:cs="Times New Roman"/>
                <w:color w:val="000000"/>
                <w:sz w:val="18"/>
                <w:szCs w:val="18"/>
                <w:lang w:eastAsia="en-AU"/>
              </w:rPr>
            </w:pPr>
            <w:r>
              <w:rPr>
                <w:color w:val="000000"/>
                <w:sz w:val="18"/>
                <w:szCs w:val="18"/>
                <w:lang w:eastAsia="en-AU"/>
              </w:rPr>
              <w:t>0</w:t>
            </w:r>
            <w:r w:rsidR="00202F13">
              <w:rPr>
                <w:color w:val="000000"/>
                <w:sz w:val="18"/>
                <w:szCs w:val="18"/>
                <w:lang w:eastAsia="en-AU"/>
              </w:rPr>
              <w:t>/</w:t>
            </w:r>
            <w:r w:rsidR="001C537C">
              <w:rPr>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ED6641" w:rsidP="00202F13">
            <w:pPr>
              <w:spacing w:after="0"/>
              <w:jc w:val="center"/>
              <w:rPr>
                <w:rFonts w:cs="Times New Roman"/>
                <w:color w:val="000000"/>
                <w:sz w:val="18"/>
                <w:szCs w:val="18"/>
                <w:lang w:eastAsia="en-AU"/>
              </w:rPr>
            </w:pPr>
            <w:r>
              <w:rPr>
                <w:color w:val="000000"/>
                <w:sz w:val="18"/>
                <w:szCs w:val="18"/>
                <w:lang w:eastAsia="en-AU"/>
              </w:rPr>
              <w:t>1</w:t>
            </w:r>
            <w:r w:rsidR="00202F13">
              <w:rPr>
                <w:color w:val="000000"/>
                <w:sz w:val="18"/>
                <w:szCs w:val="18"/>
                <w:lang w:eastAsia="en-AU"/>
              </w:rPr>
              <w:t>/</w:t>
            </w:r>
            <w:r w:rsidR="001C537C">
              <w:rPr>
                <w:color w:val="000000"/>
                <w:sz w:val="18"/>
                <w:szCs w:val="18"/>
                <w:lang w:eastAsia="en-AU"/>
              </w:rPr>
              <w:t>20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color w:val="000000"/>
                <w:sz w:val="18"/>
                <w:szCs w:val="18"/>
                <w:lang w:eastAsia="en-AU"/>
              </w:rPr>
              <w:t>2/</w:t>
            </w:r>
            <w:r w:rsidR="001C537C">
              <w:rPr>
                <w:color w:val="000000"/>
                <w:sz w:val="18"/>
                <w:szCs w:val="18"/>
                <w:lang w:eastAsia="en-AU"/>
              </w:rPr>
              <w:t>20</w:t>
            </w:r>
          </w:p>
        </w:tc>
      </w:tr>
      <w:tr w:rsidR="00202F13"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Government Departments</w:t>
            </w:r>
          </w:p>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(n=</w:t>
            </w:r>
            <w:r>
              <w:rPr>
                <w:rFonts w:cs="Times New Roman"/>
                <w:color w:val="000000"/>
                <w:sz w:val="18"/>
                <w:szCs w:val="18"/>
                <w:lang w:eastAsia="en-AU"/>
              </w:rPr>
              <w:t>8</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color w:val="000000"/>
                <w:sz w:val="18"/>
                <w:szCs w:val="18"/>
                <w:lang w:eastAsia="en-AU"/>
              </w:rPr>
              <w:t>7/8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0</w:t>
            </w:r>
            <w:r w:rsidR="006F06AD">
              <w:rPr>
                <w:rFonts w:cs="Times New Roman"/>
                <w:color w:val="000000"/>
                <w:sz w:val="18"/>
                <w:szCs w:val="18"/>
                <w:lang w:eastAsia="en-AU"/>
              </w:rPr>
              <w:t>/8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color w:val="000000"/>
                <w:sz w:val="18"/>
                <w:szCs w:val="18"/>
                <w:lang w:eastAsia="en-AU"/>
              </w:rPr>
              <w:t>0</w:t>
            </w:r>
            <w:r w:rsidR="006F06AD">
              <w:rPr>
                <w:color w:val="000000"/>
                <w:sz w:val="18"/>
                <w:szCs w:val="18"/>
                <w:lang w:eastAsia="en-AU"/>
              </w:rPr>
              <w:t>/8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1/8</w:t>
            </w:r>
          </w:p>
        </w:tc>
      </w:tr>
      <w:tr w:rsidR="00202F13" w:rsidRPr="00FE7970" w:rsidTr="007C79C2">
        <w:trPr>
          <w:trHeight w:val="485"/>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Non-Government Organisations</w:t>
            </w:r>
          </w:p>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(n=14)</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sidRPr="005911D1">
              <w:rPr>
                <w:color w:val="000000"/>
                <w:sz w:val="18"/>
                <w:szCs w:val="18"/>
                <w:lang w:eastAsia="en-AU"/>
              </w:rPr>
              <w:t>5/14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color w:val="000000"/>
                <w:sz w:val="18"/>
                <w:szCs w:val="18"/>
                <w:lang w:eastAsia="en-AU"/>
              </w:rPr>
              <w:t>3/14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color w:val="000000"/>
                <w:sz w:val="18"/>
                <w:szCs w:val="18"/>
                <w:lang w:eastAsia="en-AU"/>
              </w:rPr>
              <w:t>2/14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color w:val="000000"/>
                <w:sz w:val="18"/>
                <w:szCs w:val="18"/>
                <w:lang w:eastAsia="en-AU"/>
              </w:rPr>
              <w:t>4/14</w:t>
            </w:r>
          </w:p>
        </w:tc>
      </w:tr>
      <w:tr w:rsidR="00202F13"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Tobacco Companies</w:t>
            </w:r>
          </w:p>
          <w:p w:rsidR="00202F13" w:rsidRPr="00FE7970" w:rsidRDefault="00BC24EB" w:rsidP="00202F13">
            <w:pPr>
              <w:spacing w:before="0" w:after="0"/>
              <w:rPr>
                <w:rFonts w:cs="Times New Roman"/>
                <w:color w:val="000000"/>
                <w:sz w:val="18"/>
                <w:szCs w:val="18"/>
                <w:lang w:eastAsia="en-AU"/>
              </w:rPr>
            </w:pPr>
            <w:r>
              <w:rPr>
                <w:rFonts w:cs="Times New Roman"/>
                <w:color w:val="000000"/>
                <w:sz w:val="18"/>
                <w:szCs w:val="18"/>
                <w:lang w:eastAsia="en-AU"/>
              </w:rPr>
              <w:t>(n=3</w:t>
            </w:r>
            <w:r w:rsidR="00202F13"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0</w:t>
            </w:r>
            <w:r w:rsidR="00B07DD1">
              <w:rPr>
                <w:rFonts w:cs="Times New Roman"/>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BC24EB" w:rsidP="00202F13">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0</w:t>
            </w:r>
            <w:r w:rsidR="00B07DD1">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BC24EB" w:rsidP="00202F13">
            <w:pPr>
              <w:spacing w:after="0"/>
              <w:jc w:val="center"/>
              <w:rPr>
                <w:rFonts w:cs="Times New Roman"/>
                <w:color w:val="000000"/>
                <w:sz w:val="18"/>
                <w:szCs w:val="18"/>
                <w:lang w:eastAsia="en-AU"/>
              </w:rPr>
            </w:pPr>
            <w:r>
              <w:rPr>
                <w:rFonts w:cs="Times New Roman"/>
                <w:color w:val="000000"/>
                <w:sz w:val="18"/>
                <w:szCs w:val="18"/>
                <w:lang w:eastAsia="en-AU"/>
              </w:rPr>
              <w:t>1</w:t>
            </w:r>
            <w:r w:rsidR="00202F13">
              <w:rPr>
                <w:rFonts w:cs="Times New Roman"/>
                <w:color w:val="000000"/>
                <w:sz w:val="18"/>
                <w:szCs w:val="18"/>
                <w:lang w:eastAsia="en-AU"/>
              </w:rPr>
              <w:t>/</w:t>
            </w:r>
            <w:r>
              <w:rPr>
                <w:rFonts w:cs="Times New Roman"/>
                <w:color w:val="000000"/>
                <w:sz w:val="18"/>
                <w:szCs w:val="18"/>
                <w:lang w:eastAsia="en-AU"/>
              </w:rPr>
              <w:t>3</w:t>
            </w:r>
          </w:p>
        </w:tc>
      </w:tr>
      <w:tr w:rsidR="00202F13"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Tobacco Wholesalers/</w:t>
            </w:r>
          </w:p>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Importers</w:t>
            </w:r>
          </w:p>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(n=3)</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E92CAF" w:rsidP="00202F13">
            <w:pPr>
              <w:spacing w:after="0"/>
              <w:jc w:val="center"/>
              <w:rPr>
                <w:rFonts w:cs="Times New Roman"/>
                <w:color w:val="000000"/>
                <w:sz w:val="18"/>
                <w:szCs w:val="18"/>
                <w:lang w:eastAsia="en-AU"/>
              </w:rPr>
            </w:pPr>
            <w:r>
              <w:rPr>
                <w:rFonts w:cs="Times New Roman"/>
                <w:color w:val="000000"/>
                <w:sz w:val="18"/>
                <w:szCs w:val="18"/>
                <w:lang w:eastAsia="en-AU"/>
              </w:rPr>
              <w:t>0</w:t>
            </w:r>
            <w:r w:rsidR="00202F13">
              <w:rPr>
                <w:rFonts w:cs="Times New Roman"/>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E92CAF" w:rsidP="00202F13">
            <w:pPr>
              <w:spacing w:after="0"/>
              <w:jc w:val="center"/>
              <w:rPr>
                <w:rFonts w:cs="Times New Roman"/>
                <w:color w:val="000000"/>
                <w:sz w:val="18"/>
                <w:szCs w:val="18"/>
                <w:lang w:eastAsia="en-AU"/>
              </w:rPr>
            </w:pPr>
            <w:r>
              <w:rPr>
                <w:rFonts w:cs="Times New Roman"/>
                <w:color w:val="000000"/>
                <w:sz w:val="18"/>
                <w:szCs w:val="18"/>
                <w:lang w:eastAsia="en-AU"/>
              </w:rPr>
              <w:t>1</w:t>
            </w:r>
            <w:r w:rsidR="00B07DD1">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0</w:t>
            </w:r>
            <w:r w:rsidR="00B07DD1">
              <w:rPr>
                <w:rFonts w:cs="Times New Roman"/>
                <w:color w:val="000000"/>
                <w:sz w:val="18"/>
                <w:szCs w:val="18"/>
                <w:lang w:eastAsia="en-AU"/>
              </w:rPr>
              <w:t>/3</w:t>
            </w:r>
          </w:p>
        </w:tc>
      </w:tr>
      <w:tr w:rsidR="00202F13"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Tobacco Retailers</w:t>
            </w:r>
          </w:p>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(n=68)</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28/68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11/68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18/68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11/68</w:t>
            </w:r>
          </w:p>
        </w:tc>
      </w:tr>
      <w:tr w:rsidR="00202F13"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Consumers</w:t>
            </w:r>
          </w:p>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(n=412)</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172/412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50/412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137/412</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53/412</w:t>
            </w:r>
          </w:p>
        </w:tc>
      </w:tr>
      <w:tr w:rsidR="00202F13"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Other</w:t>
            </w:r>
          </w:p>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(n=</w:t>
            </w:r>
            <w:r w:rsidR="001C537C">
              <w:rPr>
                <w:rFonts w:cs="Times New Roman"/>
                <w:color w:val="000000"/>
                <w:sz w:val="18"/>
                <w:szCs w:val="18"/>
                <w:lang w:eastAsia="en-AU"/>
              </w:rPr>
              <w:t>14</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3/</w:t>
            </w:r>
            <w:r w:rsidR="001C537C">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ED6641" w:rsidP="00202F13">
            <w:pPr>
              <w:spacing w:after="0"/>
              <w:jc w:val="center"/>
              <w:rPr>
                <w:rFonts w:cs="Times New Roman"/>
                <w:color w:val="000000"/>
                <w:sz w:val="18"/>
                <w:szCs w:val="18"/>
                <w:lang w:eastAsia="en-AU"/>
              </w:rPr>
            </w:pPr>
            <w:r>
              <w:rPr>
                <w:rFonts w:cs="Times New Roman"/>
                <w:color w:val="000000"/>
                <w:sz w:val="18"/>
                <w:szCs w:val="18"/>
                <w:lang w:eastAsia="en-AU"/>
              </w:rPr>
              <w:t>3</w:t>
            </w:r>
            <w:r w:rsidR="00202F13">
              <w:rPr>
                <w:rFonts w:cs="Times New Roman"/>
                <w:color w:val="000000"/>
                <w:sz w:val="18"/>
                <w:szCs w:val="18"/>
                <w:lang w:eastAsia="en-AU"/>
              </w:rPr>
              <w:t>/</w:t>
            </w:r>
            <w:r w:rsidR="001C537C">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957A5C" w:rsidP="00202F13">
            <w:pPr>
              <w:spacing w:after="0"/>
              <w:jc w:val="center"/>
              <w:rPr>
                <w:rFonts w:cs="Times New Roman"/>
                <w:color w:val="000000"/>
                <w:sz w:val="18"/>
                <w:szCs w:val="18"/>
                <w:lang w:eastAsia="en-AU"/>
              </w:rPr>
            </w:pPr>
            <w:r>
              <w:rPr>
                <w:rFonts w:cs="Times New Roman"/>
                <w:color w:val="000000"/>
                <w:sz w:val="18"/>
                <w:szCs w:val="18"/>
                <w:lang w:eastAsia="en-AU"/>
              </w:rPr>
              <w:t>4/</w:t>
            </w:r>
            <w:r w:rsidR="001C537C">
              <w:rPr>
                <w:rFonts w:cs="Times New Roman"/>
                <w:color w:val="000000"/>
                <w:sz w:val="18"/>
                <w:szCs w:val="18"/>
                <w:lang w:eastAsia="en-AU"/>
              </w:rPr>
              <w:t>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4/</w:t>
            </w:r>
            <w:r w:rsidR="001C537C">
              <w:rPr>
                <w:rFonts w:cs="Times New Roman"/>
                <w:color w:val="000000"/>
                <w:sz w:val="18"/>
                <w:szCs w:val="18"/>
                <w:lang w:eastAsia="en-AU"/>
              </w:rPr>
              <w:t>14</w:t>
            </w:r>
          </w:p>
        </w:tc>
      </w:tr>
      <w:tr w:rsidR="00202F13"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2F13" w:rsidRPr="00FE7970" w:rsidRDefault="00202F13" w:rsidP="00202F13">
            <w:pPr>
              <w:spacing w:before="0" w:after="0"/>
              <w:rPr>
                <w:rFonts w:cs="Times New Roman"/>
                <w:color w:val="000000"/>
                <w:sz w:val="18"/>
                <w:szCs w:val="18"/>
                <w:lang w:eastAsia="en-AU"/>
              </w:rPr>
            </w:pPr>
            <w:r w:rsidRPr="00FE7970">
              <w:rPr>
                <w:rFonts w:cs="Times New Roman"/>
                <w:color w:val="000000"/>
                <w:sz w:val="18"/>
                <w:szCs w:val="18"/>
                <w:lang w:eastAsia="en-AU"/>
              </w:rPr>
              <w:t>Unspecified</w:t>
            </w:r>
          </w:p>
          <w:p w:rsidR="00202F13" w:rsidRPr="00FE7970" w:rsidRDefault="00202F13" w:rsidP="00202F13">
            <w:pPr>
              <w:spacing w:before="0" w:after="0"/>
              <w:rPr>
                <w:rFonts w:cs="Times New Roman"/>
                <w:color w:val="000000"/>
                <w:sz w:val="18"/>
                <w:szCs w:val="18"/>
                <w:lang w:eastAsia="en-AU"/>
              </w:rPr>
            </w:pPr>
            <w:r>
              <w:rPr>
                <w:rFonts w:cs="Times New Roman"/>
                <w:color w:val="000000"/>
                <w:sz w:val="18"/>
                <w:szCs w:val="18"/>
                <w:lang w:eastAsia="en-AU"/>
              </w:rPr>
              <w:t>(n= 10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4/10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0</w:t>
            </w:r>
            <w:r w:rsidR="002A16A7">
              <w:rPr>
                <w:rFonts w:cs="Times New Roman"/>
                <w:color w:val="000000"/>
                <w:sz w:val="18"/>
                <w:szCs w:val="18"/>
                <w:lang w:eastAsia="en-AU"/>
              </w:rPr>
              <w:t>/10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1/10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202F13" w:rsidRPr="00C05D65" w:rsidRDefault="00202F13" w:rsidP="00202F13">
            <w:pPr>
              <w:spacing w:after="0"/>
              <w:jc w:val="center"/>
              <w:rPr>
                <w:rFonts w:cs="Times New Roman"/>
                <w:color w:val="000000"/>
                <w:sz w:val="18"/>
                <w:szCs w:val="18"/>
                <w:lang w:eastAsia="en-AU"/>
              </w:rPr>
            </w:pPr>
            <w:r>
              <w:rPr>
                <w:rFonts w:cs="Times New Roman"/>
                <w:color w:val="000000"/>
                <w:sz w:val="18"/>
                <w:szCs w:val="18"/>
                <w:lang w:eastAsia="en-AU"/>
              </w:rPr>
              <w:t>5/10</w:t>
            </w:r>
          </w:p>
        </w:tc>
      </w:tr>
    </w:tbl>
    <w:p w:rsidR="007C79C2" w:rsidRDefault="007C79C2" w:rsidP="007C79C2">
      <w:pPr>
        <w:rPr>
          <w:rFonts w:cs="Times New Roman"/>
        </w:rPr>
      </w:pPr>
      <w:r w:rsidRPr="00D73773">
        <w:rPr>
          <w:rFonts w:cs="Times New Roman"/>
        </w:rPr>
        <w:t xml:space="preserve">Most stakeholders who participated </w:t>
      </w:r>
      <w:r w:rsidR="00261FBB">
        <w:rPr>
          <w:rFonts w:cs="Times New Roman"/>
        </w:rPr>
        <w:t xml:space="preserve">in the consultation process </w:t>
      </w:r>
      <w:r w:rsidRPr="00D73773">
        <w:rPr>
          <w:rFonts w:cs="Times New Roman"/>
        </w:rPr>
        <w:t>provided a</w:t>
      </w:r>
      <w:r w:rsidR="00261FBB">
        <w:rPr>
          <w:rFonts w:cs="Times New Roman"/>
        </w:rPr>
        <w:t xml:space="preserve"> positive rating, with 238</w:t>
      </w:r>
      <w:r w:rsidRPr="00D73773">
        <w:rPr>
          <w:rFonts w:cs="Times New Roman"/>
        </w:rPr>
        <w:t xml:space="preserve"> stakeholders stating they were satisfied or highly satisfied with the consulta</w:t>
      </w:r>
      <w:r w:rsidR="00261FBB">
        <w:rPr>
          <w:rFonts w:cs="Times New Roman"/>
        </w:rPr>
        <w:t>tion process. A sm</w:t>
      </w:r>
      <w:r w:rsidR="008828E9">
        <w:rPr>
          <w:rFonts w:cs="Times New Roman"/>
        </w:rPr>
        <w:t>aller number of stakeholders, 69</w:t>
      </w:r>
      <w:r w:rsidR="00261FBB">
        <w:rPr>
          <w:rFonts w:cs="Times New Roman"/>
        </w:rPr>
        <w:t>,</w:t>
      </w:r>
      <w:r w:rsidRPr="00D73773">
        <w:rPr>
          <w:rFonts w:cs="Times New Roman"/>
        </w:rPr>
        <w:t xml:space="preserve"> were unhappy or very unhappy with the </w:t>
      </w:r>
      <w:r w:rsidRPr="00D73773">
        <w:rPr>
          <w:rFonts w:cs="Times New Roman"/>
        </w:rPr>
        <w:lastRenderedPageBreak/>
        <w:t xml:space="preserve">consultation process. </w:t>
      </w:r>
      <w:r w:rsidR="008828E9">
        <w:rPr>
          <w:rFonts w:cs="Times New Roman"/>
        </w:rPr>
        <w:t>One hundred and sixty-four</w:t>
      </w:r>
      <w:r w:rsidR="00261FBB">
        <w:rPr>
          <w:rFonts w:cs="Times New Roman"/>
        </w:rPr>
        <w:t xml:space="preserve"> </w:t>
      </w:r>
      <w:r w:rsidRPr="00D73773">
        <w:rPr>
          <w:rFonts w:cs="Times New Roman"/>
        </w:rPr>
        <w:t>stakeholders rated their satisfaction with the consultation process as neutral.</w:t>
      </w:r>
    </w:p>
    <w:p w:rsidR="00FA5605" w:rsidRPr="008851CF" w:rsidRDefault="00FA5605" w:rsidP="00FA5605">
      <w:pPr>
        <w:rPr>
          <w:rFonts w:cs="Times New Roman"/>
        </w:rPr>
      </w:pPr>
      <w:r w:rsidRPr="008851CF">
        <w:rPr>
          <w:rFonts w:cs="Times New Roman"/>
        </w:rPr>
        <w:t>The level of satisfaction with the consultation process varied across stakeholder groups. Most public health organisations and experts, health related NGOs, government departments, tobacco wholesalers and importers and a large number of retailers were either neutral, satisfied or highly satisfied with the consultation process based on the fact</w:t>
      </w:r>
      <w:r w:rsidR="00FD3D96">
        <w:rPr>
          <w:rFonts w:cs="Times New Roman"/>
        </w:rPr>
        <w:t>s</w:t>
      </w:r>
      <w:r w:rsidRPr="008851CF">
        <w:rPr>
          <w:rFonts w:cs="Times New Roman"/>
        </w:rPr>
        <w:t xml:space="preserve"> that: a range of consultation methods were available; consultation questions were relevant as they were based on the objectives of the tobacco plain packaging measure and provided opportunities for broader discussion/input to be put forward; and the consultation questions were applicable to the broad range of stakeholder groups and were considered unbiased/neutral. Those tobacco companies, retailers, non-health related NGOs and consumers who submitted a written response who were unhappy or very unhappy with the consultation process thought that: the six week timeframe for consultations was inadequate; consultation questions were not relevant as they did not directly address smoking incidence and prevalence, illicit tobacco, the impact of the measure on different stakeholder groups or the impact of other tobacco control measures; questions were biased against smokers;</w:t>
      </w:r>
      <w:r w:rsidR="00951DE1">
        <w:rPr>
          <w:rFonts w:cs="Times New Roman"/>
        </w:rPr>
        <w:t xml:space="preserve"> and questions were repetitive.</w:t>
      </w:r>
    </w:p>
    <w:p w:rsidR="00FA5605" w:rsidRPr="008851CF" w:rsidRDefault="00FA5605" w:rsidP="00FA5605">
      <w:pPr>
        <w:rPr>
          <w:rFonts w:cs="Times New Roman"/>
        </w:rPr>
      </w:pPr>
      <w:r w:rsidRPr="008851CF">
        <w:rPr>
          <w:rFonts w:cs="Times New Roman"/>
        </w:rPr>
        <w:t>It should be noted that consultation timeframes were in line with OBPR guidelines for PIRs. Furthermore, extensions were granted to</w:t>
      </w:r>
      <w:r w:rsidR="00D23E4D">
        <w:rPr>
          <w:rFonts w:cs="Times New Roman"/>
        </w:rPr>
        <w:t xml:space="preserve"> some stakeholders to</w:t>
      </w:r>
      <w:r w:rsidRPr="008851CF">
        <w:rPr>
          <w:rFonts w:cs="Times New Roman"/>
        </w:rPr>
        <w:t xml:space="preserve"> submit responses mindful of the need to allow adequate time for data analysis and reporting, within the limits of the deadlines set by OBPR for the PIR as a whole. Consultation questions were based on the objectives of the </w:t>
      </w:r>
      <w:r w:rsidR="00D23E4D">
        <w:rPr>
          <w:rFonts w:cs="Times New Roman"/>
        </w:rPr>
        <w:t>TPP</w:t>
      </w:r>
      <w:r w:rsidRPr="008851CF">
        <w:rPr>
          <w:rFonts w:cs="Times New Roman"/>
        </w:rPr>
        <w:t xml:space="preserve"> Act; asked about the positive and negative impacts of the measure on different stakeholder groups and </w:t>
      </w:r>
      <w:r>
        <w:rPr>
          <w:rFonts w:cs="Times New Roman"/>
        </w:rPr>
        <w:t xml:space="preserve">included </w:t>
      </w:r>
      <w:r w:rsidRPr="008851CF">
        <w:rPr>
          <w:rFonts w:cs="Times New Roman"/>
        </w:rPr>
        <w:t xml:space="preserve">an open ended question inviting stakeholders to provide </w:t>
      </w:r>
      <w:r>
        <w:rPr>
          <w:rFonts w:cs="Times New Roman"/>
        </w:rPr>
        <w:t>any other comments they felt they had been unable to provide in answer to set qu</w:t>
      </w:r>
      <w:r w:rsidR="006E351C">
        <w:rPr>
          <w:rFonts w:cs="Times New Roman"/>
        </w:rPr>
        <w:t>estions but felt were relevant.</w:t>
      </w:r>
    </w:p>
    <w:p w:rsidR="00FA5605" w:rsidRPr="00644890" w:rsidRDefault="00FA5605" w:rsidP="00FA5605">
      <w:pPr>
        <w:pStyle w:val="Heading3"/>
      </w:pPr>
      <w:bookmarkStart w:id="38" w:name="_Toc426122306"/>
      <w:bookmarkStart w:id="39" w:name="_Toc427306685"/>
      <w:r w:rsidRPr="00644890">
        <w:t>D</w:t>
      </w:r>
      <w:r w:rsidR="00E0005D">
        <w:t>escription of number and type</w:t>
      </w:r>
      <w:r w:rsidRPr="00644890">
        <w:t xml:space="preserve"> of </w:t>
      </w:r>
      <w:r w:rsidR="00E0005D">
        <w:t>stakeholders</w:t>
      </w:r>
      <w:r w:rsidRPr="00644890">
        <w:t xml:space="preserve"> </w:t>
      </w:r>
      <w:r w:rsidR="00E0005D">
        <w:t xml:space="preserve">who participated in the </w:t>
      </w:r>
      <w:r w:rsidRPr="00644890">
        <w:t>consultation process</w:t>
      </w:r>
      <w:bookmarkEnd w:id="38"/>
      <w:bookmarkEnd w:id="39"/>
    </w:p>
    <w:p w:rsidR="004536CB" w:rsidRDefault="004536CB" w:rsidP="004536CB">
      <w:pPr>
        <w:spacing w:after="60"/>
        <w:rPr>
          <w:szCs w:val="18"/>
        </w:rPr>
      </w:pPr>
      <w:r>
        <w:t>The number</w:t>
      </w:r>
      <w:r w:rsidR="00222C71">
        <w:t xml:space="preserve"> and type</w:t>
      </w:r>
      <w:r w:rsidRPr="0012656E">
        <w:t xml:space="preserve"> of </w:t>
      </w:r>
      <w:r>
        <w:t>stakeholders</w:t>
      </w:r>
      <w:r w:rsidRPr="0012656E">
        <w:t xml:space="preserve"> </w:t>
      </w:r>
      <w:r>
        <w:t xml:space="preserve">who </w:t>
      </w:r>
      <w:r w:rsidRPr="0012656E">
        <w:t>participated in the consultation processes</w:t>
      </w:r>
      <w:r w:rsidR="00222C71">
        <w:t xml:space="preserve"> via various methods</w:t>
      </w:r>
      <w:r w:rsidRPr="0012656E">
        <w:t xml:space="preserve"> is outlined</w:t>
      </w:r>
      <w:r w:rsidR="00F302EB">
        <w:t xml:space="preserve"> in Table 2.</w:t>
      </w:r>
      <w:r w:rsidRPr="0012656E">
        <w:t xml:space="preserve"> </w:t>
      </w:r>
      <w:r>
        <w:rPr>
          <w:szCs w:val="18"/>
        </w:rPr>
        <w:t xml:space="preserve">Some organisations and stakeholders </w:t>
      </w:r>
      <w:r w:rsidRPr="008851CF">
        <w:rPr>
          <w:szCs w:val="18"/>
        </w:rPr>
        <w:t xml:space="preserve">chose to participate in an interview </w:t>
      </w:r>
      <w:r w:rsidRPr="00BC18E4">
        <w:rPr>
          <w:b/>
          <w:i/>
          <w:szCs w:val="18"/>
        </w:rPr>
        <w:t>and</w:t>
      </w:r>
      <w:r w:rsidRPr="008851CF">
        <w:rPr>
          <w:szCs w:val="18"/>
        </w:rPr>
        <w:t xml:space="preserve"> submit a</w:t>
      </w:r>
      <w:r>
        <w:rPr>
          <w:szCs w:val="18"/>
        </w:rPr>
        <w:t>n online or email</w:t>
      </w:r>
      <w:r w:rsidRPr="008851CF">
        <w:rPr>
          <w:szCs w:val="18"/>
        </w:rPr>
        <w:t xml:space="preserve"> written response.</w:t>
      </w:r>
      <w:r w:rsidRPr="006776F0">
        <w:t xml:space="preserve"> </w:t>
      </w:r>
      <w:r>
        <w:t>In the case where organisations nominated stakeholders to participate in an interview and</w:t>
      </w:r>
      <w:r w:rsidR="00222C71">
        <w:t xml:space="preserve"> the organisation also chose to</w:t>
      </w:r>
      <w:r>
        <w:t xml:space="preserve"> submit an online or email written response, these responses have been counted as separate responses as quantitative ratings and qualitative responses may have differed. </w:t>
      </w:r>
      <w:r w:rsidRPr="006776F0">
        <w:rPr>
          <w:szCs w:val="18"/>
        </w:rPr>
        <w:t>Documentation supporting written responses (received via email or in hardcopy) was also received from a range of stakeholder groups.</w:t>
      </w:r>
    </w:p>
    <w:p w:rsidR="004536CB" w:rsidRPr="00E12A7B" w:rsidRDefault="004536CB" w:rsidP="00A45A8A">
      <w:pPr>
        <w:pStyle w:val="TblHeading"/>
      </w:pPr>
      <w:proofErr w:type="gramStart"/>
      <w:r w:rsidRPr="00393F5E">
        <w:t>T</w:t>
      </w:r>
      <w:r w:rsidR="00F302EB">
        <w:t>able</w:t>
      </w:r>
      <w:r w:rsidR="00E12A7B" w:rsidRPr="00393F5E">
        <w:t xml:space="preserve"> 2</w:t>
      </w:r>
      <w:r w:rsidR="00F302EB">
        <w:t>.</w:t>
      </w:r>
      <w:proofErr w:type="gramEnd"/>
      <w:r w:rsidRPr="00393F5E">
        <w:t xml:space="preserve"> Number</w:t>
      </w:r>
      <w:r w:rsidRPr="00E12A7B">
        <w:t xml:space="preserve"> and type of stakeholders who participa</w:t>
      </w:r>
      <w:r w:rsidR="00D53F3E" w:rsidRPr="00E12A7B">
        <w:t>ted in the consultation process</w:t>
      </w:r>
    </w:p>
    <w:tbl>
      <w:tblPr>
        <w:tblW w:w="4852" w:type="pct"/>
        <w:jc w:val="center"/>
        <w:tblLayout w:type="fixed"/>
        <w:tblCellMar>
          <w:left w:w="0" w:type="dxa"/>
          <w:right w:w="0" w:type="dxa"/>
        </w:tblCellMar>
        <w:tblLook w:val="04A0" w:firstRow="1" w:lastRow="0" w:firstColumn="1" w:lastColumn="0" w:noHBand="0" w:noVBand="1"/>
        <w:tblDescription w:val="For the various stakeholder groups, table 2 shows the number of stakeholders who participated in the consultation process and the way in which they participated.  The table has 4 columns.  Read across for stakeholder group, number of interviews, number of online written submissions and number of email written submissions."/>
      </w:tblPr>
      <w:tblGrid>
        <w:gridCol w:w="2266"/>
        <w:gridCol w:w="2490"/>
        <w:gridCol w:w="2106"/>
        <w:gridCol w:w="2106"/>
      </w:tblGrid>
      <w:tr w:rsidR="004536CB" w:rsidRPr="004536CB" w:rsidTr="00AA6DFE">
        <w:trPr>
          <w:trHeight w:val="699"/>
          <w:tblHeader/>
          <w:jc w:val="center"/>
        </w:trPr>
        <w:tc>
          <w:tcPr>
            <w:tcW w:w="1264" w:type="pct"/>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hideMark/>
          </w:tcPr>
          <w:p w:rsidR="004536CB" w:rsidRPr="004536CB" w:rsidRDefault="004536CB" w:rsidP="00892EB6">
            <w:pPr>
              <w:spacing w:after="0"/>
              <w:jc w:val="center"/>
              <w:rPr>
                <w:rFonts w:cs="Times New Roman"/>
                <w:b/>
                <w:bCs/>
                <w:color w:val="000000"/>
                <w:sz w:val="18"/>
                <w:szCs w:val="18"/>
                <w:lang w:eastAsia="en-AU"/>
              </w:rPr>
            </w:pPr>
            <w:r w:rsidRPr="004536CB">
              <w:rPr>
                <w:rFonts w:cs="Times New Roman"/>
                <w:b/>
                <w:bCs/>
                <w:color w:val="000000"/>
                <w:sz w:val="18"/>
                <w:szCs w:val="18"/>
                <w:lang w:eastAsia="en-AU"/>
              </w:rPr>
              <w:t>Stakeholder group</w:t>
            </w:r>
          </w:p>
        </w:tc>
        <w:tc>
          <w:tcPr>
            <w:tcW w:w="1388"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4536CB" w:rsidRPr="004536CB" w:rsidRDefault="004536CB" w:rsidP="00892EB6">
            <w:pPr>
              <w:spacing w:after="0"/>
              <w:jc w:val="center"/>
              <w:rPr>
                <w:rFonts w:cs="Times New Roman"/>
                <w:b/>
                <w:bCs/>
                <w:color w:val="000000"/>
                <w:sz w:val="18"/>
                <w:szCs w:val="18"/>
                <w:lang w:eastAsia="en-AU"/>
              </w:rPr>
            </w:pPr>
            <w:r w:rsidRPr="004536CB">
              <w:rPr>
                <w:rFonts w:cs="Times New Roman"/>
                <w:b/>
                <w:bCs/>
                <w:color w:val="000000"/>
                <w:sz w:val="18"/>
                <w:szCs w:val="18"/>
                <w:lang w:eastAsia="en-AU"/>
              </w:rPr>
              <w:t xml:space="preserve">Interviews </w:t>
            </w:r>
          </w:p>
        </w:tc>
        <w:tc>
          <w:tcPr>
            <w:tcW w:w="1174"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4536CB" w:rsidRPr="004536CB" w:rsidRDefault="004536CB" w:rsidP="00892EB6">
            <w:pPr>
              <w:spacing w:after="0"/>
              <w:jc w:val="center"/>
              <w:rPr>
                <w:rFonts w:cs="Times New Roman"/>
                <w:b/>
                <w:bCs/>
                <w:color w:val="000000"/>
                <w:sz w:val="18"/>
                <w:szCs w:val="18"/>
                <w:lang w:eastAsia="en-AU"/>
              </w:rPr>
            </w:pPr>
            <w:r w:rsidRPr="004536CB">
              <w:rPr>
                <w:rFonts w:cs="Times New Roman"/>
                <w:b/>
                <w:bCs/>
                <w:color w:val="000000"/>
                <w:sz w:val="18"/>
                <w:szCs w:val="18"/>
                <w:lang w:eastAsia="en-AU"/>
              </w:rPr>
              <w:t>Online written submission</w:t>
            </w:r>
          </w:p>
        </w:tc>
        <w:tc>
          <w:tcPr>
            <w:tcW w:w="1174"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tcPr>
          <w:p w:rsidR="004536CB" w:rsidRPr="004536CB" w:rsidRDefault="004536CB" w:rsidP="00892EB6">
            <w:pPr>
              <w:spacing w:after="0"/>
              <w:jc w:val="center"/>
              <w:rPr>
                <w:rFonts w:cs="Times New Roman"/>
                <w:b/>
                <w:bCs/>
                <w:color w:val="000000"/>
                <w:sz w:val="18"/>
                <w:szCs w:val="18"/>
                <w:lang w:eastAsia="en-AU"/>
              </w:rPr>
            </w:pPr>
            <w:r w:rsidRPr="004536CB">
              <w:rPr>
                <w:rFonts w:cs="Times New Roman"/>
                <w:b/>
                <w:bCs/>
                <w:color w:val="000000"/>
                <w:sz w:val="18"/>
                <w:szCs w:val="18"/>
                <w:lang w:eastAsia="en-AU"/>
              </w:rPr>
              <w:t>Email written submission</w:t>
            </w:r>
          </w:p>
        </w:tc>
      </w:tr>
      <w:tr w:rsidR="004536CB" w:rsidRPr="004536CB" w:rsidTr="00AA6DFE">
        <w:trPr>
          <w:trHeight w:val="568"/>
          <w:jc w:val="center"/>
        </w:trPr>
        <w:tc>
          <w:tcPr>
            <w:tcW w:w="126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rPr>
                <w:rFonts w:cs="Times New Roman"/>
                <w:color w:val="000000"/>
                <w:sz w:val="18"/>
                <w:szCs w:val="18"/>
                <w:lang w:eastAsia="en-AU"/>
              </w:rPr>
            </w:pPr>
            <w:r w:rsidRPr="004536CB">
              <w:rPr>
                <w:rFonts w:cs="Times New Roman"/>
                <w:color w:val="000000"/>
                <w:sz w:val="18"/>
                <w:szCs w:val="18"/>
                <w:lang w:eastAsia="en-AU"/>
              </w:rPr>
              <w:t>Commonwealth government departments</w:t>
            </w:r>
            <w:r w:rsidRPr="004536CB">
              <w:rPr>
                <w:rStyle w:val="FootnoteReference"/>
                <w:rFonts w:cs="Times New Roman"/>
                <w:color w:val="000000"/>
                <w:sz w:val="18"/>
                <w:szCs w:val="18"/>
                <w:lang w:eastAsia="en-AU"/>
              </w:rPr>
              <w:footnoteReference w:id="2"/>
            </w:r>
            <w:r w:rsidRPr="004536CB">
              <w:rPr>
                <w:rFonts w:cs="Times New Roman"/>
                <w:color w:val="000000"/>
                <w:sz w:val="18"/>
                <w:szCs w:val="18"/>
                <w:lang w:eastAsia="en-AU"/>
              </w:rPr>
              <w:t xml:space="preserve"> </w:t>
            </w:r>
          </w:p>
        </w:tc>
        <w:tc>
          <w:tcPr>
            <w:tcW w:w="1388"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8 Departments (21 individuals)</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0 Departments</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0</w:t>
            </w:r>
          </w:p>
        </w:tc>
      </w:tr>
      <w:tr w:rsidR="004536CB" w:rsidRPr="004536CB" w:rsidTr="00AA6DFE">
        <w:trPr>
          <w:trHeight w:val="568"/>
          <w:jc w:val="center"/>
        </w:trPr>
        <w:tc>
          <w:tcPr>
            <w:tcW w:w="126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36CB" w:rsidRPr="004536CB" w:rsidRDefault="004536CB" w:rsidP="00657275">
            <w:pPr>
              <w:spacing w:after="0"/>
              <w:rPr>
                <w:rFonts w:cs="Times New Roman"/>
                <w:color w:val="000000"/>
                <w:sz w:val="18"/>
                <w:szCs w:val="18"/>
                <w:lang w:eastAsia="en-AU"/>
              </w:rPr>
            </w:pPr>
            <w:r w:rsidRPr="004536CB">
              <w:rPr>
                <w:rFonts w:cs="Times New Roman"/>
                <w:color w:val="000000"/>
                <w:sz w:val="18"/>
                <w:szCs w:val="18"/>
                <w:lang w:eastAsia="en-AU"/>
              </w:rPr>
              <w:t>Public Health Organisations/Experts</w:t>
            </w:r>
          </w:p>
        </w:tc>
        <w:tc>
          <w:tcPr>
            <w:tcW w:w="1388"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15 Organisations (24 individuals)</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8570E3" w:rsidP="00657275">
            <w:pPr>
              <w:spacing w:after="0"/>
              <w:jc w:val="center"/>
              <w:rPr>
                <w:rFonts w:cs="Times New Roman"/>
                <w:color w:val="000000"/>
                <w:sz w:val="18"/>
                <w:szCs w:val="18"/>
                <w:lang w:eastAsia="en-AU"/>
              </w:rPr>
            </w:pPr>
            <w:r>
              <w:rPr>
                <w:rFonts w:cs="Times New Roman"/>
                <w:color w:val="000000"/>
                <w:sz w:val="18"/>
                <w:szCs w:val="18"/>
                <w:lang w:eastAsia="en-AU"/>
              </w:rPr>
              <w:t>4</w:t>
            </w:r>
            <w:r w:rsidR="004536CB" w:rsidRPr="004536CB">
              <w:rPr>
                <w:rFonts w:cs="Times New Roman"/>
                <w:color w:val="000000"/>
                <w:sz w:val="18"/>
                <w:szCs w:val="18"/>
                <w:lang w:eastAsia="en-AU"/>
              </w:rPr>
              <w:t xml:space="preserve"> Organisations</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4 Organisations</w:t>
            </w:r>
          </w:p>
        </w:tc>
      </w:tr>
      <w:tr w:rsidR="004536CB" w:rsidRPr="004536CB" w:rsidTr="00AA6DFE">
        <w:trPr>
          <w:trHeight w:val="532"/>
          <w:jc w:val="center"/>
        </w:trPr>
        <w:tc>
          <w:tcPr>
            <w:tcW w:w="126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36CB" w:rsidRPr="004536CB" w:rsidRDefault="004536CB" w:rsidP="00657275">
            <w:pPr>
              <w:spacing w:after="0"/>
              <w:rPr>
                <w:rFonts w:cs="Times New Roman"/>
                <w:color w:val="000000"/>
                <w:sz w:val="18"/>
                <w:szCs w:val="18"/>
                <w:lang w:eastAsia="en-AU"/>
              </w:rPr>
            </w:pPr>
            <w:r w:rsidRPr="004536CB">
              <w:rPr>
                <w:rFonts w:cs="Times New Roman"/>
                <w:color w:val="000000"/>
                <w:sz w:val="18"/>
                <w:szCs w:val="18"/>
                <w:lang w:eastAsia="en-AU"/>
              </w:rPr>
              <w:lastRenderedPageBreak/>
              <w:t>Government Departments</w:t>
            </w:r>
            <w:r w:rsidRPr="004536CB">
              <w:rPr>
                <w:rStyle w:val="FootnoteReference"/>
                <w:rFonts w:cs="Times New Roman"/>
                <w:color w:val="000000"/>
                <w:sz w:val="18"/>
                <w:szCs w:val="18"/>
                <w:lang w:eastAsia="en-AU"/>
              </w:rPr>
              <w:footnoteReference w:id="3"/>
            </w:r>
          </w:p>
          <w:p w:rsidR="004536CB" w:rsidRPr="004536CB" w:rsidRDefault="004536CB" w:rsidP="00657275">
            <w:pPr>
              <w:spacing w:after="0"/>
              <w:rPr>
                <w:rFonts w:cs="Times New Roman"/>
                <w:color w:val="000000"/>
                <w:sz w:val="18"/>
                <w:szCs w:val="18"/>
                <w:lang w:eastAsia="en-AU"/>
              </w:rPr>
            </w:pPr>
          </w:p>
        </w:tc>
        <w:tc>
          <w:tcPr>
            <w:tcW w:w="1388"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6 Departments (12 individuals)</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2 Departments</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0</w:t>
            </w:r>
          </w:p>
        </w:tc>
      </w:tr>
      <w:tr w:rsidR="004536CB" w:rsidRPr="004536CB" w:rsidTr="00AA6DFE">
        <w:trPr>
          <w:trHeight w:val="482"/>
          <w:jc w:val="center"/>
        </w:trPr>
        <w:tc>
          <w:tcPr>
            <w:tcW w:w="126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36CB" w:rsidRPr="004536CB" w:rsidRDefault="004536CB" w:rsidP="00657275">
            <w:pPr>
              <w:spacing w:after="0"/>
              <w:rPr>
                <w:rFonts w:cs="Times New Roman"/>
                <w:color w:val="000000"/>
                <w:sz w:val="18"/>
                <w:szCs w:val="18"/>
                <w:lang w:eastAsia="en-AU"/>
              </w:rPr>
            </w:pPr>
            <w:r w:rsidRPr="004536CB">
              <w:rPr>
                <w:rFonts w:cs="Times New Roman"/>
                <w:color w:val="000000"/>
                <w:sz w:val="18"/>
                <w:szCs w:val="18"/>
                <w:lang w:eastAsia="en-AU"/>
              </w:rPr>
              <w:t>Non-Government Organisations</w:t>
            </w:r>
          </w:p>
        </w:tc>
        <w:tc>
          <w:tcPr>
            <w:tcW w:w="1388"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b/>
                <w:color w:val="000000"/>
                <w:sz w:val="18"/>
                <w:szCs w:val="18"/>
                <w:lang w:eastAsia="en-AU"/>
              </w:rPr>
            </w:pPr>
            <w:r w:rsidRPr="004536CB">
              <w:rPr>
                <w:rFonts w:cs="Times New Roman"/>
                <w:color w:val="000000"/>
                <w:sz w:val="18"/>
                <w:szCs w:val="18"/>
                <w:lang w:eastAsia="en-AU"/>
              </w:rPr>
              <w:t>3 Organisations (4 individuals)</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b/>
                <w:color w:val="000000"/>
                <w:sz w:val="18"/>
                <w:szCs w:val="18"/>
                <w:lang w:eastAsia="en-AU"/>
              </w:rPr>
            </w:pPr>
            <w:r w:rsidRPr="004536CB">
              <w:rPr>
                <w:rFonts w:cs="Times New Roman"/>
                <w:color w:val="000000"/>
                <w:sz w:val="18"/>
                <w:szCs w:val="18"/>
                <w:lang w:eastAsia="en-AU"/>
              </w:rPr>
              <w:t>11 Organisations</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b/>
                <w:color w:val="000000"/>
                <w:sz w:val="18"/>
                <w:szCs w:val="18"/>
                <w:lang w:eastAsia="en-AU"/>
              </w:rPr>
            </w:pPr>
            <w:r w:rsidRPr="004536CB">
              <w:rPr>
                <w:rFonts w:cs="Times New Roman"/>
                <w:color w:val="000000"/>
                <w:sz w:val="18"/>
                <w:szCs w:val="18"/>
                <w:lang w:eastAsia="en-AU"/>
              </w:rPr>
              <w:t>0</w:t>
            </w:r>
          </w:p>
        </w:tc>
      </w:tr>
      <w:tr w:rsidR="004536CB" w:rsidRPr="004536CB" w:rsidTr="00AA6DFE">
        <w:trPr>
          <w:trHeight w:val="532"/>
          <w:jc w:val="center"/>
        </w:trPr>
        <w:tc>
          <w:tcPr>
            <w:tcW w:w="126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36CB" w:rsidRPr="004536CB" w:rsidRDefault="004536CB" w:rsidP="00657275">
            <w:pPr>
              <w:spacing w:after="0"/>
              <w:rPr>
                <w:rFonts w:cs="Times New Roman"/>
                <w:color w:val="000000"/>
                <w:sz w:val="18"/>
                <w:szCs w:val="18"/>
                <w:lang w:eastAsia="en-AU"/>
              </w:rPr>
            </w:pPr>
            <w:r w:rsidRPr="004536CB">
              <w:rPr>
                <w:rFonts w:cs="Times New Roman"/>
                <w:color w:val="000000"/>
                <w:sz w:val="18"/>
                <w:szCs w:val="18"/>
                <w:lang w:eastAsia="en-AU"/>
              </w:rPr>
              <w:t>Tobacco Companies</w:t>
            </w:r>
          </w:p>
        </w:tc>
        <w:tc>
          <w:tcPr>
            <w:tcW w:w="1388"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1 Organisation (5 individuals)</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2 Organisations</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4 organisations</w:t>
            </w:r>
          </w:p>
        </w:tc>
      </w:tr>
      <w:tr w:rsidR="004536CB" w:rsidRPr="004536CB" w:rsidTr="00AA6DFE">
        <w:trPr>
          <w:trHeight w:val="532"/>
          <w:jc w:val="center"/>
        </w:trPr>
        <w:tc>
          <w:tcPr>
            <w:tcW w:w="126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36CB" w:rsidRPr="004536CB" w:rsidRDefault="004536CB" w:rsidP="00657275">
            <w:pPr>
              <w:spacing w:after="0"/>
              <w:rPr>
                <w:rFonts w:cs="Times New Roman"/>
                <w:color w:val="000000"/>
                <w:sz w:val="18"/>
                <w:szCs w:val="18"/>
                <w:lang w:eastAsia="en-AU"/>
              </w:rPr>
            </w:pPr>
            <w:r w:rsidRPr="004536CB">
              <w:rPr>
                <w:rFonts w:cs="Times New Roman"/>
                <w:color w:val="000000"/>
                <w:sz w:val="18"/>
                <w:szCs w:val="18"/>
                <w:lang w:eastAsia="en-AU"/>
              </w:rPr>
              <w:t>Tobacco Wholesalers/</w:t>
            </w:r>
          </w:p>
          <w:p w:rsidR="004536CB" w:rsidRPr="004536CB" w:rsidRDefault="004536CB" w:rsidP="00657275">
            <w:pPr>
              <w:spacing w:after="0"/>
              <w:rPr>
                <w:rFonts w:cs="Times New Roman"/>
                <w:color w:val="000000"/>
                <w:sz w:val="18"/>
                <w:szCs w:val="18"/>
                <w:lang w:eastAsia="en-AU"/>
              </w:rPr>
            </w:pPr>
            <w:r w:rsidRPr="004536CB">
              <w:rPr>
                <w:rFonts w:cs="Times New Roman"/>
                <w:color w:val="000000"/>
                <w:sz w:val="18"/>
                <w:szCs w:val="18"/>
                <w:lang w:eastAsia="en-AU"/>
              </w:rPr>
              <w:t>Importers</w:t>
            </w:r>
          </w:p>
        </w:tc>
        <w:tc>
          <w:tcPr>
            <w:tcW w:w="1388"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highlight w:val="yellow"/>
                <w:lang w:eastAsia="en-AU"/>
              </w:rPr>
            </w:pPr>
            <w:r w:rsidRPr="004536CB">
              <w:rPr>
                <w:rFonts w:cs="Times New Roman"/>
                <w:color w:val="000000"/>
                <w:sz w:val="18"/>
                <w:szCs w:val="18"/>
                <w:lang w:eastAsia="en-AU"/>
              </w:rPr>
              <w:t>3 Organisations (4 individuals)</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0 Organisations</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1 organisation</w:t>
            </w:r>
          </w:p>
        </w:tc>
      </w:tr>
      <w:tr w:rsidR="004536CB" w:rsidRPr="004536CB" w:rsidTr="00AA6DFE">
        <w:trPr>
          <w:trHeight w:val="532"/>
          <w:jc w:val="center"/>
        </w:trPr>
        <w:tc>
          <w:tcPr>
            <w:tcW w:w="126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36CB" w:rsidRPr="004536CB" w:rsidRDefault="004536CB" w:rsidP="00657275">
            <w:pPr>
              <w:spacing w:after="0"/>
              <w:rPr>
                <w:rFonts w:cs="Times New Roman"/>
                <w:color w:val="000000"/>
                <w:sz w:val="18"/>
                <w:szCs w:val="18"/>
                <w:lang w:eastAsia="en-AU"/>
              </w:rPr>
            </w:pPr>
            <w:r w:rsidRPr="004536CB">
              <w:rPr>
                <w:rFonts w:cs="Times New Roman"/>
                <w:color w:val="000000"/>
                <w:sz w:val="18"/>
                <w:szCs w:val="18"/>
                <w:lang w:eastAsia="en-AU"/>
              </w:rPr>
              <w:t>Tobacco Retailers</w:t>
            </w:r>
          </w:p>
        </w:tc>
        <w:tc>
          <w:tcPr>
            <w:tcW w:w="1388"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9 Organisations (11 individuals)</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 xml:space="preserve">59 </w:t>
            </w:r>
            <w:r w:rsidR="00BC18E4">
              <w:rPr>
                <w:rFonts w:cs="Times New Roman"/>
                <w:color w:val="000000"/>
                <w:sz w:val="18"/>
                <w:szCs w:val="18"/>
                <w:lang w:eastAsia="en-AU"/>
              </w:rPr>
              <w:t>Organisations</w:t>
            </w:r>
            <w:r w:rsidRPr="004536CB">
              <w:rPr>
                <w:rFonts w:cs="Times New Roman"/>
                <w:color w:val="000000"/>
                <w:sz w:val="18"/>
                <w:szCs w:val="18"/>
                <w:lang w:eastAsia="en-AU"/>
              </w:rPr>
              <w:t xml:space="preserve"> </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3 organisations</w:t>
            </w:r>
          </w:p>
        </w:tc>
      </w:tr>
      <w:tr w:rsidR="004536CB" w:rsidRPr="004536CB" w:rsidTr="00AA6DFE">
        <w:trPr>
          <w:trHeight w:val="532"/>
          <w:jc w:val="center"/>
        </w:trPr>
        <w:tc>
          <w:tcPr>
            <w:tcW w:w="126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36CB" w:rsidRPr="004536CB" w:rsidRDefault="004536CB" w:rsidP="00657275">
            <w:pPr>
              <w:spacing w:after="0"/>
              <w:rPr>
                <w:rFonts w:cs="Times New Roman"/>
                <w:color w:val="000000"/>
                <w:sz w:val="18"/>
                <w:szCs w:val="18"/>
                <w:lang w:eastAsia="en-AU"/>
              </w:rPr>
            </w:pPr>
            <w:r w:rsidRPr="004536CB">
              <w:rPr>
                <w:rFonts w:cs="Times New Roman"/>
                <w:color w:val="000000"/>
                <w:sz w:val="18"/>
                <w:szCs w:val="18"/>
                <w:lang w:eastAsia="en-AU"/>
              </w:rPr>
              <w:t>Consumers</w:t>
            </w:r>
            <w:r w:rsidRPr="004536CB">
              <w:rPr>
                <w:rStyle w:val="FootnoteReference"/>
                <w:rFonts w:cs="Times New Roman"/>
                <w:color w:val="000000"/>
                <w:sz w:val="18"/>
                <w:szCs w:val="18"/>
                <w:lang w:eastAsia="en-AU"/>
              </w:rPr>
              <w:footnoteReference w:id="4"/>
            </w:r>
          </w:p>
        </w:tc>
        <w:tc>
          <w:tcPr>
            <w:tcW w:w="1388"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n/a</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412 individuals</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0</w:t>
            </w:r>
          </w:p>
        </w:tc>
      </w:tr>
      <w:tr w:rsidR="004536CB" w:rsidRPr="004536CB" w:rsidTr="00AA6DFE">
        <w:trPr>
          <w:trHeight w:val="532"/>
          <w:jc w:val="center"/>
        </w:trPr>
        <w:tc>
          <w:tcPr>
            <w:tcW w:w="126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46120" w:rsidRPr="004536CB" w:rsidRDefault="004536CB" w:rsidP="00657275">
            <w:pPr>
              <w:spacing w:after="0"/>
              <w:rPr>
                <w:rFonts w:cs="Times New Roman"/>
                <w:color w:val="000000"/>
                <w:sz w:val="18"/>
                <w:szCs w:val="18"/>
                <w:lang w:eastAsia="en-AU"/>
              </w:rPr>
            </w:pPr>
            <w:r w:rsidRPr="004536CB">
              <w:rPr>
                <w:rFonts w:cs="Times New Roman"/>
                <w:color w:val="000000"/>
                <w:sz w:val="18"/>
                <w:szCs w:val="18"/>
                <w:lang w:eastAsia="en-AU"/>
              </w:rPr>
              <w:t>Other</w:t>
            </w:r>
            <w:r w:rsidRPr="004536CB">
              <w:rPr>
                <w:rStyle w:val="FootnoteReference"/>
                <w:rFonts w:cs="Times New Roman"/>
                <w:color w:val="000000"/>
                <w:sz w:val="18"/>
                <w:szCs w:val="18"/>
                <w:lang w:eastAsia="en-AU"/>
              </w:rPr>
              <w:footnoteReference w:id="5"/>
            </w:r>
          </w:p>
        </w:tc>
        <w:tc>
          <w:tcPr>
            <w:tcW w:w="1388"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n/a</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1</w:t>
            </w:r>
            <w:r w:rsidR="00442CAD">
              <w:rPr>
                <w:rFonts w:cs="Times New Roman"/>
                <w:color w:val="000000"/>
                <w:sz w:val="18"/>
                <w:szCs w:val="18"/>
                <w:lang w:eastAsia="en-AU"/>
              </w:rPr>
              <w:t>4</w:t>
            </w:r>
            <w:r w:rsidRPr="004536CB">
              <w:rPr>
                <w:rFonts w:cs="Times New Roman"/>
                <w:color w:val="000000"/>
                <w:sz w:val="18"/>
                <w:szCs w:val="18"/>
                <w:lang w:eastAsia="en-AU"/>
              </w:rPr>
              <w:t xml:space="preserve"> individuals</w:t>
            </w:r>
          </w:p>
        </w:tc>
        <w:tc>
          <w:tcPr>
            <w:tcW w:w="1174" w:type="pct"/>
            <w:tcBorders>
              <w:top w:val="nil"/>
              <w:left w:val="nil"/>
              <w:bottom w:val="single" w:sz="8"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0</w:t>
            </w:r>
          </w:p>
        </w:tc>
      </w:tr>
      <w:tr w:rsidR="004536CB" w:rsidRPr="004536CB" w:rsidTr="00AA6DFE">
        <w:trPr>
          <w:trHeight w:val="532"/>
          <w:jc w:val="center"/>
        </w:trPr>
        <w:tc>
          <w:tcPr>
            <w:tcW w:w="1264"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4536CB" w:rsidRPr="004536CB" w:rsidRDefault="004536CB" w:rsidP="00657275">
            <w:pPr>
              <w:spacing w:after="0"/>
              <w:rPr>
                <w:rFonts w:cs="Times New Roman"/>
                <w:color w:val="000000"/>
                <w:sz w:val="18"/>
                <w:szCs w:val="18"/>
                <w:lang w:eastAsia="en-AU"/>
              </w:rPr>
            </w:pPr>
            <w:r w:rsidRPr="004536CB">
              <w:rPr>
                <w:rFonts w:cs="Times New Roman"/>
                <w:color w:val="000000"/>
                <w:sz w:val="18"/>
                <w:szCs w:val="18"/>
                <w:lang w:eastAsia="en-AU"/>
              </w:rPr>
              <w:t>Unspecified</w:t>
            </w:r>
          </w:p>
        </w:tc>
        <w:tc>
          <w:tcPr>
            <w:tcW w:w="1388" w:type="pct"/>
            <w:tcBorders>
              <w:top w:val="nil"/>
              <w:left w:val="nil"/>
              <w:bottom w:val="single" w:sz="4"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n/a</w:t>
            </w:r>
          </w:p>
        </w:tc>
        <w:tc>
          <w:tcPr>
            <w:tcW w:w="1174" w:type="pct"/>
            <w:tcBorders>
              <w:top w:val="nil"/>
              <w:left w:val="nil"/>
              <w:bottom w:val="single" w:sz="4"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10 individuals</w:t>
            </w:r>
          </w:p>
        </w:tc>
        <w:tc>
          <w:tcPr>
            <w:tcW w:w="1174" w:type="pct"/>
            <w:tcBorders>
              <w:top w:val="nil"/>
              <w:left w:val="nil"/>
              <w:bottom w:val="single" w:sz="4" w:space="0" w:color="auto"/>
              <w:right w:val="single" w:sz="8"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0</w:t>
            </w:r>
          </w:p>
        </w:tc>
      </w:tr>
      <w:tr w:rsidR="004536CB" w:rsidRPr="004536CB" w:rsidTr="00AA6DFE">
        <w:trPr>
          <w:trHeight w:val="532"/>
          <w:jc w:val="center"/>
        </w:trPr>
        <w:tc>
          <w:tcPr>
            <w:tcW w:w="12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536CB" w:rsidRPr="004536CB" w:rsidRDefault="004536CB" w:rsidP="00657275">
            <w:pPr>
              <w:spacing w:after="0"/>
              <w:rPr>
                <w:rFonts w:cs="Times New Roman"/>
                <w:color w:val="000000"/>
                <w:sz w:val="18"/>
                <w:szCs w:val="18"/>
                <w:lang w:eastAsia="en-AU"/>
              </w:rPr>
            </w:pPr>
            <w:r w:rsidRPr="004536CB">
              <w:rPr>
                <w:rFonts w:cs="Times New Roman"/>
                <w:color w:val="000000"/>
                <w:sz w:val="18"/>
                <w:szCs w:val="18"/>
                <w:lang w:eastAsia="en-AU"/>
              </w:rPr>
              <w:t>Total</w:t>
            </w:r>
          </w:p>
        </w:tc>
        <w:tc>
          <w:tcPr>
            <w:tcW w:w="13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45 Organisations/ Departments (81 individuals interviewed)</w:t>
            </w:r>
          </w:p>
        </w:tc>
        <w:tc>
          <w:tcPr>
            <w:tcW w:w="11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514 online written submissions</w:t>
            </w:r>
          </w:p>
        </w:tc>
        <w:tc>
          <w:tcPr>
            <w:tcW w:w="11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536CB" w:rsidRPr="004536CB" w:rsidRDefault="004536CB" w:rsidP="00657275">
            <w:pPr>
              <w:spacing w:after="0"/>
              <w:jc w:val="center"/>
              <w:rPr>
                <w:rFonts w:cs="Times New Roman"/>
                <w:color w:val="000000"/>
                <w:sz w:val="18"/>
                <w:szCs w:val="18"/>
                <w:lang w:eastAsia="en-AU"/>
              </w:rPr>
            </w:pPr>
            <w:r w:rsidRPr="004536CB">
              <w:rPr>
                <w:rFonts w:cs="Times New Roman"/>
                <w:color w:val="000000"/>
                <w:sz w:val="18"/>
                <w:szCs w:val="18"/>
                <w:lang w:eastAsia="en-AU"/>
              </w:rPr>
              <w:t>12 email written submissions</w:t>
            </w:r>
          </w:p>
        </w:tc>
      </w:tr>
    </w:tbl>
    <w:p w:rsidR="00174238" w:rsidRPr="009B7235" w:rsidRDefault="00D53F3E" w:rsidP="004536CB">
      <w:r w:rsidRPr="00E2287C">
        <w:t>Please note that T</w:t>
      </w:r>
      <w:r w:rsidR="00A82170" w:rsidRPr="00E2287C">
        <w:t>able</w:t>
      </w:r>
      <w:r w:rsidR="00393F5E" w:rsidRPr="00E2287C">
        <w:t xml:space="preserve"> 2</w:t>
      </w:r>
      <w:r w:rsidR="00A82170" w:rsidRPr="00E2287C">
        <w:t xml:space="preserve"> presents the total number of </w:t>
      </w:r>
      <w:r w:rsidRPr="00E2287C">
        <w:t>organisations/individual stakeholders</w:t>
      </w:r>
      <w:r w:rsidR="00A82170" w:rsidRPr="00E2287C">
        <w:t xml:space="preserve"> who </w:t>
      </w:r>
      <w:r w:rsidR="00251C26">
        <w:t>participated in</w:t>
      </w:r>
      <w:r w:rsidR="00A82170" w:rsidRPr="00E2287C">
        <w:t xml:space="preserve"> the consultation process</w:t>
      </w:r>
      <w:r w:rsidR="00AC0685">
        <w:t xml:space="preserve"> by any means</w:t>
      </w:r>
      <w:r w:rsidR="00F22416" w:rsidRPr="00E2287C">
        <w:t>, while T</w:t>
      </w:r>
      <w:r w:rsidRPr="00E2287C">
        <w:t xml:space="preserve">ables </w:t>
      </w:r>
      <w:r w:rsidR="00393F5E" w:rsidRPr="00E2287C">
        <w:t>1</w:t>
      </w:r>
      <w:r w:rsidR="00F22416" w:rsidRPr="00E2287C">
        <w:t xml:space="preserve">, </w:t>
      </w:r>
      <w:r w:rsidR="00393F5E" w:rsidRPr="00E2287C">
        <w:t>3</w:t>
      </w:r>
      <w:r w:rsidR="00677587" w:rsidRPr="00E2287C">
        <w:t>, 5, 7, 9, 10, 11, 13, 15, 17, 19</w:t>
      </w:r>
      <w:r w:rsidR="007357BB" w:rsidRPr="00E2287C">
        <w:t xml:space="preserve"> </w:t>
      </w:r>
      <w:r w:rsidR="00A82170" w:rsidRPr="00E2287C">
        <w:t>present</w:t>
      </w:r>
      <w:r w:rsidR="00AC0685">
        <w:t xml:space="preserve"> only</w:t>
      </w:r>
      <w:r w:rsidR="00A82170" w:rsidRPr="00E2287C">
        <w:t xml:space="preserve"> the total number of </w:t>
      </w:r>
      <w:r w:rsidR="00E2287C" w:rsidRPr="00E2287C">
        <w:t xml:space="preserve">organisations/individual </w:t>
      </w:r>
      <w:r w:rsidR="00F22416" w:rsidRPr="00E2287C">
        <w:t>stakeholders</w:t>
      </w:r>
      <w:r w:rsidR="00A82170" w:rsidRPr="00E2287C">
        <w:t xml:space="preserve"> who </w:t>
      </w:r>
      <w:r w:rsidR="00251C26">
        <w:t>participated in</w:t>
      </w:r>
      <w:r w:rsidR="00A82170" w:rsidRPr="00E2287C">
        <w:t xml:space="preserve"> the consultation process </w:t>
      </w:r>
      <w:r w:rsidR="00A82170" w:rsidRPr="00E2287C">
        <w:rPr>
          <w:i/>
        </w:rPr>
        <w:t>using the consultation protocol specifically</w:t>
      </w:r>
      <w:r w:rsidR="00F22416" w:rsidRPr="00E2287C">
        <w:rPr>
          <w:i/>
        </w:rPr>
        <w:t xml:space="preserve"> </w:t>
      </w:r>
      <w:r w:rsidR="00F22416" w:rsidRPr="00E2287C">
        <w:t>(either via interview, online written submission or email written submission). Fo</w:t>
      </w:r>
      <w:r w:rsidR="00116216" w:rsidRPr="00E2287C">
        <w:t>r this reason, the total number</w:t>
      </w:r>
      <w:r w:rsidR="00A80D04">
        <w:t xml:space="preserve"> of </w:t>
      </w:r>
      <w:r w:rsidR="00A80D04" w:rsidRPr="00A80D04">
        <w:t>organisations/individual stakeholders</w:t>
      </w:r>
      <w:r w:rsidR="00116216" w:rsidRPr="00E2287C">
        <w:t xml:space="preserve"> in Table 2</w:t>
      </w:r>
      <w:r w:rsidR="00F22416" w:rsidRPr="00E2287C">
        <w:t xml:space="preserve"> </w:t>
      </w:r>
      <w:r w:rsidR="00BC18E4">
        <w:t xml:space="preserve">is larger </w:t>
      </w:r>
      <w:r w:rsidR="00AC0685">
        <w:t>than</w:t>
      </w:r>
      <w:r w:rsidR="00E2287C" w:rsidRPr="00E2287C">
        <w:t xml:space="preserve"> the total number</w:t>
      </w:r>
      <w:r w:rsidR="00A80D04">
        <w:t xml:space="preserve"> of </w:t>
      </w:r>
      <w:r w:rsidR="00A80D04" w:rsidRPr="00A80D04">
        <w:t>organisations/individual stakeholders</w:t>
      </w:r>
      <w:r w:rsidR="00A80D04">
        <w:t xml:space="preserve"> </w:t>
      </w:r>
      <w:r w:rsidR="00F22416" w:rsidRPr="00E2287C">
        <w:t xml:space="preserve">in Tables </w:t>
      </w:r>
      <w:r w:rsidR="00E2287C" w:rsidRPr="00E2287C">
        <w:t xml:space="preserve">1, 3, 5, 7, 9, 10, 11, 13, 15, 17, </w:t>
      </w:r>
      <w:proofErr w:type="gramStart"/>
      <w:r w:rsidR="00E2287C" w:rsidRPr="00E2287C">
        <w:t>19</w:t>
      </w:r>
      <w:proofErr w:type="gramEnd"/>
      <w:r w:rsidR="00E2287C" w:rsidRPr="00E2287C">
        <w:t>.</w:t>
      </w:r>
    </w:p>
    <w:p w:rsidR="004536CB" w:rsidRPr="007833D8" w:rsidRDefault="004536CB" w:rsidP="00976F59">
      <w:pPr>
        <w:pStyle w:val="Heading4"/>
      </w:pPr>
      <w:r w:rsidRPr="007833D8">
        <w:t>Interviews</w:t>
      </w:r>
    </w:p>
    <w:p w:rsidR="004536CB" w:rsidRDefault="004536CB" w:rsidP="004536CB">
      <w:pPr>
        <w:rPr>
          <w:szCs w:val="18"/>
        </w:rPr>
      </w:pPr>
      <w:r w:rsidRPr="008851CF">
        <w:rPr>
          <w:szCs w:val="18"/>
        </w:rPr>
        <w:t xml:space="preserve">In total </w:t>
      </w:r>
      <w:r w:rsidR="002712B0">
        <w:rPr>
          <w:szCs w:val="18"/>
        </w:rPr>
        <w:t>45</w:t>
      </w:r>
      <w:r>
        <w:rPr>
          <w:szCs w:val="18"/>
        </w:rPr>
        <w:t xml:space="preserve"> organisations/departments (81 individuals) agreed to and </w:t>
      </w:r>
      <w:r w:rsidRPr="008851CF">
        <w:rPr>
          <w:szCs w:val="18"/>
        </w:rPr>
        <w:t xml:space="preserve">were interviewed. </w:t>
      </w:r>
      <w:r w:rsidRPr="00902055">
        <w:rPr>
          <w:szCs w:val="18"/>
        </w:rPr>
        <w:t>Please refer to Appendix 1A Table 1A for the list of all organisations who were invited to participate in the consultation process.</w:t>
      </w:r>
    </w:p>
    <w:p w:rsidR="004536CB" w:rsidRPr="007833D8" w:rsidRDefault="00F267B0" w:rsidP="00976F59">
      <w:pPr>
        <w:pStyle w:val="Heading4"/>
      </w:pPr>
      <w:r>
        <w:t>Online w</w:t>
      </w:r>
      <w:r w:rsidR="004536CB" w:rsidRPr="007833D8">
        <w:t>ritten submissions</w:t>
      </w:r>
    </w:p>
    <w:p w:rsidR="004536CB" w:rsidRDefault="004536CB" w:rsidP="004536CB">
      <w:pPr>
        <w:spacing w:after="60"/>
      </w:pPr>
      <w:r w:rsidRPr="008851CF">
        <w:t xml:space="preserve">In total 783 respondents started the </w:t>
      </w:r>
      <w:r>
        <w:t>online written submission process</w:t>
      </w:r>
      <w:r>
        <w:rPr>
          <w:rStyle w:val="FootnoteReference"/>
        </w:rPr>
        <w:footnoteReference w:id="6"/>
      </w:r>
      <w:r w:rsidRPr="008851CF">
        <w:t xml:space="preserve"> and </w:t>
      </w:r>
      <w:r>
        <w:t>514</w:t>
      </w:r>
      <w:r w:rsidRPr="008851CF">
        <w:t xml:space="preserve"> respondents </w:t>
      </w:r>
      <w:r w:rsidR="00251C26">
        <w:t>answered some or all questions via this method</w:t>
      </w:r>
      <w:r w:rsidRPr="008851CF">
        <w:t>.</w:t>
      </w:r>
      <w:r>
        <w:rPr>
          <w:rStyle w:val="FootnoteReference"/>
        </w:rPr>
        <w:footnoteReference w:id="7"/>
      </w:r>
      <w:r w:rsidRPr="008851CF">
        <w:t xml:space="preserve"> </w:t>
      </w:r>
      <w:r>
        <w:t>It was made clear to respondents that they did not need to answer all questions, only thos</w:t>
      </w:r>
      <w:r w:rsidR="00951DE1">
        <w:t>e they felt able to respond to.</w:t>
      </w:r>
    </w:p>
    <w:p w:rsidR="004536CB" w:rsidRPr="008851CF" w:rsidRDefault="004536CB" w:rsidP="004536CB">
      <w:r w:rsidRPr="00182CE3">
        <w:lastRenderedPageBreak/>
        <w:t>There was a high level of variability in the extent to which respondents who made an online</w:t>
      </w:r>
      <w:r>
        <w:t xml:space="preserve"> or email written </w:t>
      </w:r>
      <w:r w:rsidRPr="00045B53">
        <w:t xml:space="preserve">submission </w:t>
      </w:r>
      <w:r w:rsidR="001823A3">
        <w:t xml:space="preserve">(which aligned with the consultation protocol) </w:t>
      </w:r>
      <w:r w:rsidRPr="00045B53">
        <w:t xml:space="preserve">chose to provide answers to all questions (those that aimed to elicit both quantitative and qualitative answers) within the </w:t>
      </w:r>
      <w:r w:rsidR="00454A06">
        <w:t>consultation protocol</w:t>
      </w:r>
      <w:r w:rsidRPr="00045B53">
        <w:t xml:space="preserve"> provided. All responses have been included in the analysis to ensure that the full </w:t>
      </w:r>
      <w:proofErr w:type="gramStart"/>
      <w:r w:rsidRPr="00045B53">
        <w:t>spectrum of views expressed are</w:t>
      </w:r>
      <w:proofErr w:type="gramEnd"/>
      <w:r w:rsidRPr="00045B53">
        <w:t xml:space="preserve"> represented and to assist with the management of any potential perceptions of bias in either direction (pro or against plain packaging) and for completeness.</w:t>
      </w:r>
    </w:p>
    <w:p w:rsidR="00F267B0" w:rsidRPr="00F267B0" w:rsidRDefault="00F267B0" w:rsidP="00976F59">
      <w:pPr>
        <w:pStyle w:val="Heading4"/>
      </w:pPr>
      <w:r>
        <w:t>Email w</w:t>
      </w:r>
      <w:r w:rsidRPr="007833D8">
        <w:t>ritten submissions</w:t>
      </w:r>
    </w:p>
    <w:p w:rsidR="001823A3" w:rsidRDefault="00A80D04" w:rsidP="004536CB">
      <w:pPr>
        <w:spacing w:after="60"/>
      </w:pPr>
      <w:r>
        <w:t xml:space="preserve">Twelve </w:t>
      </w:r>
      <w:r w:rsidR="001823A3">
        <w:t>written submissions were received via email.</w:t>
      </w:r>
      <w:r w:rsidR="00F267B0" w:rsidRPr="00F267B0">
        <w:t xml:space="preserve"> </w:t>
      </w:r>
      <w:r w:rsidR="00F267B0" w:rsidRPr="00045B53">
        <w:t>Only one of the</w:t>
      </w:r>
      <w:r w:rsidR="00F302EB">
        <w:t>se</w:t>
      </w:r>
      <w:r w:rsidR="00F267B0" w:rsidRPr="00045B53">
        <w:t xml:space="preserve"> email written submissions </w:t>
      </w:r>
      <w:r w:rsidR="00F302EB">
        <w:t>aligned with the</w:t>
      </w:r>
      <w:r w:rsidR="00F267B0" w:rsidRPr="00045B53">
        <w:t xml:space="preserve"> consultation protocol.</w:t>
      </w:r>
    </w:p>
    <w:p w:rsidR="00EE0689" w:rsidRDefault="004536CB" w:rsidP="004536CB">
      <w:pPr>
        <w:spacing w:after="60"/>
      </w:pPr>
      <w:r w:rsidRPr="008851CF">
        <w:t xml:space="preserve">An additional submission from </w:t>
      </w:r>
      <w:r>
        <w:t xml:space="preserve">a tobacco company </w:t>
      </w:r>
      <w:r w:rsidRPr="008851CF">
        <w:t>was received by Siggins Miller via post on the 19</w:t>
      </w:r>
      <w:r w:rsidRPr="008851CF">
        <w:rPr>
          <w:vertAlign w:val="superscript"/>
        </w:rPr>
        <w:t>th</w:t>
      </w:r>
      <w:r w:rsidRPr="008851CF">
        <w:t xml:space="preserve"> June 2015 (12 weeks after th</w:t>
      </w:r>
      <w:r w:rsidR="00951DE1">
        <w:t>e consultation process closed).</w:t>
      </w:r>
    </w:p>
    <w:p w:rsidR="00FA5605" w:rsidRPr="002457C2" w:rsidRDefault="00FA5605" w:rsidP="00976F59">
      <w:pPr>
        <w:pStyle w:val="Heading3"/>
      </w:pPr>
      <w:r w:rsidRPr="002457C2">
        <w:t xml:space="preserve">Costing survey </w:t>
      </w:r>
    </w:p>
    <w:p w:rsidR="00FA5605" w:rsidRPr="008851CF" w:rsidRDefault="00FA5605" w:rsidP="00FA5605">
      <w:r w:rsidRPr="008851CF">
        <w:t>All major tobacco industry groups, major retailers and government agencies were invited to participate in a costing survey, to provide them with an opportunity to identify the material impacts of the tobacco plain packaging measure on them and to quantify, where possible, the costs and benefits of the tobacco plain packaging measure. An e-mail inviting industry representatives and government agencies to participate in the costing survey was sent to these groups on the 26</w:t>
      </w:r>
      <w:r w:rsidRPr="008851CF">
        <w:rPr>
          <w:vertAlign w:val="superscript"/>
        </w:rPr>
        <w:t>th</w:t>
      </w:r>
      <w:r w:rsidRPr="008851CF">
        <w:t xml:space="preserve"> February 2015 with a close date of 16</w:t>
      </w:r>
      <w:r w:rsidRPr="008851CF">
        <w:rPr>
          <w:vertAlign w:val="superscript"/>
        </w:rPr>
        <w:t>th</w:t>
      </w:r>
      <w:r w:rsidRPr="008851CF">
        <w:t xml:space="preserve"> March 2015 (2.5 weeks). Stakeholders from industry and government agencies requested extensions to complete the </w:t>
      </w:r>
      <w:proofErr w:type="gramStart"/>
      <w:r w:rsidRPr="008851CF">
        <w:t>survey,</w:t>
      </w:r>
      <w:proofErr w:type="gramEnd"/>
      <w:r w:rsidRPr="008851CF">
        <w:t xml:space="preserve"> therefore the survey close date was extended to align with the broader consultation close date of the 27</w:t>
      </w:r>
      <w:r w:rsidRPr="008851CF">
        <w:rPr>
          <w:vertAlign w:val="superscript"/>
        </w:rPr>
        <w:t>th</w:t>
      </w:r>
      <w:r w:rsidRPr="008851CF">
        <w:t xml:space="preserve"> March 2015 (four weeks). Many stakeholders noted that they did not have capacity to participate in the survey. Many government agencies noted that they did not incur costs as a result of the measure and therefore there was no need to complete the costing survey. </w:t>
      </w:r>
      <w:r w:rsidRPr="00902055">
        <w:t>Refer to Appendix 1A Table 1A for the list of stakeholders who were invited to complete the costing survey. Results of the costing survey were passed on to the economists for the purposes of the RBM and</w:t>
      </w:r>
      <w:r w:rsidRPr="008851CF">
        <w:t xml:space="preserve"> CBA.</w:t>
      </w:r>
    </w:p>
    <w:p w:rsidR="00FA5605" w:rsidRPr="00D40DC6" w:rsidRDefault="00FA5605" w:rsidP="0018586D">
      <w:pPr>
        <w:pStyle w:val="Heading2"/>
        <w:numPr>
          <w:ilvl w:val="1"/>
          <w:numId w:val="11"/>
        </w:numPr>
        <w:spacing w:before="60" w:after="60"/>
      </w:pPr>
      <w:bookmarkStart w:id="40" w:name="_Toc444007950"/>
      <w:r w:rsidRPr="00D40DC6">
        <w:t>Analysis</w:t>
      </w:r>
      <w:bookmarkEnd w:id="40"/>
    </w:p>
    <w:p w:rsidR="00FA5605" w:rsidRPr="00D40DC6" w:rsidRDefault="00FA5605" w:rsidP="00D40DC6">
      <w:pPr>
        <w:pStyle w:val="Heading3"/>
      </w:pPr>
      <w:bookmarkStart w:id="41" w:name="_Toc426122308"/>
      <w:bookmarkStart w:id="42" w:name="_Toc427306687"/>
      <w:r w:rsidRPr="00D40DC6">
        <w:t>Relevance and repetitiveness of responses</w:t>
      </w:r>
      <w:bookmarkEnd w:id="41"/>
      <w:bookmarkEnd w:id="42"/>
    </w:p>
    <w:p w:rsidR="00FA5605" w:rsidRPr="008851CF" w:rsidRDefault="00FA5605" w:rsidP="00D40DC6">
      <w:r w:rsidRPr="008851CF">
        <w:t>Stakeholders often provided responses which addressed and/or were more relevant to some questions than others (e.g. a question was asked about the measure’s impact on reducing the appeal of tobacco products but the stakeholder’s response related to the increased salience of health warnings). For this reason, and also to reduce duplication, stakeholder responses are presented under those objectives to which they were most relevant. This approach was als</w:t>
      </w:r>
      <w:r w:rsidR="00951DE1">
        <w:t>o used for written submissions.</w:t>
      </w:r>
    </w:p>
    <w:p w:rsidR="00FA5605" w:rsidRPr="008851CF" w:rsidRDefault="00FA5605" w:rsidP="00D40DC6">
      <w:r w:rsidRPr="008851CF">
        <w:t>Given the repetitiveness of responses across stakeholder groups identified at the time of analysis, it was decided that findings would be collated across stakeholder groups (rather than separately) when they had similar responses.</w:t>
      </w:r>
    </w:p>
    <w:p w:rsidR="00FA5605" w:rsidRPr="008851CF" w:rsidRDefault="00FA5605" w:rsidP="00D40DC6">
      <w:pPr>
        <w:pStyle w:val="Heading3"/>
      </w:pPr>
      <w:bookmarkStart w:id="43" w:name="_Toc426122309"/>
      <w:bookmarkStart w:id="44" w:name="_Toc427306688"/>
      <w:r w:rsidRPr="008851CF">
        <w:lastRenderedPageBreak/>
        <w:t>Quantitative data</w:t>
      </w:r>
      <w:bookmarkEnd w:id="43"/>
      <w:bookmarkEnd w:id="44"/>
    </w:p>
    <w:p w:rsidR="00FA5605" w:rsidRDefault="00FA5605" w:rsidP="00D40DC6">
      <w:r w:rsidRPr="008851CF">
        <w:t xml:space="preserve">As part of interviews and the written submission process </w:t>
      </w:r>
      <w:r w:rsidR="00342F11">
        <w:t>stakeholders w</w:t>
      </w:r>
      <w:r w:rsidRPr="008851CF">
        <w:t>ere asked to provide a rating on the extent to which they thought that the tobacco plain packaging measure had achieved its objectives and to explain the basis on which they made that judgement. Rating points includ</w:t>
      </w:r>
      <w:r>
        <w:t>ed</w:t>
      </w:r>
      <w:r w:rsidR="00D23E4D">
        <w:t xml:space="preserve"> “not at all”</w:t>
      </w:r>
      <w:r w:rsidRPr="008851CF">
        <w:t xml:space="preserve">, “very little”, “unsure”, “somewhat” and “to a great extent”. </w:t>
      </w:r>
      <w:r>
        <w:t>Frequencies for positive (somewhat and to a great extent), unsure and negative (not at all or very little) ratings for each stakeholder group are presented in the f</w:t>
      </w:r>
      <w:r w:rsidR="00951DE1">
        <w:t>indings section of this report.</w:t>
      </w:r>
    </w:p>
    <w:p w:rsidR="00FA5605" w:rsidRDefault="00FA5605" w:rsidP="00D40DC6">
      <w:pPr>
        <w:pStyle w:val="Heading3"/>
      </w:pPr>
      <w:bookmarkStart w:id="45" w:name="_Toc426122310"/>
      <w:bookmarkStart w:id="46" w:name="_Toc427306689"/>
      <w:r w:rsidRPr="0012656E">
        <w:t>Qualitative data analysis</w:t>
      </w:r>
      <w:bookmarkEnd w:id="45"/>
      <w:bookmarkEnd w:id="46"/>
    </w:p>
    <w:p w:rsidR="00FA5605" w:rsidRDefault="00FA5605" w:rsidP="00FA5605">
      <w:bookmarkStart w:id="47" w:name="_Toc418770464"/>
      <w:bookmarkStart w:id="48" w:name="_Toc419889546"/>
      <w:bookmarkEnd w:id="47"/>
      <w:bookmarkEnd w:id="48"/>
      <w:r>
        <w:t>The analysis of qualitative data was overseen by a lead coder and the process involved:</w:t>
      </w:r>
    </w:p>
    <w:p w:rsidR="00FA5605" w:rsidRPr="00D40DC6" w:rsidRDefault="00560281" w:rsidP="00EC02D0">
      <w:pPr>
        <w:pStyle w:val="Bullet"/>
      </w:pPr>
      <w:r>
        <w:t>S</w:t>
      </w:r>
      <w:r w:rsidR="00FA5605" w:rsidRPr="00D40DC6">
        <w:t>egmenting the data</w:t>
      </w:r>
      <w:r>
        <w:t>;</w:t>
      </w:r>
    </w:p>
    <w:p w:rsidR="00FA5605" w:rsidRPr="00D40DC6" w:rsidRDefault="00560281" w:rsidP="00EC02D0">
      <w:pPr>
        <w:pStyle w:val="Bullet"/>
      </w:pPr>
      <w:r>
        <w:t>I</w:t>
      </w:r>
      <w:r w:rsidR="00FA5605" w:rsidRPr="00D40DC6">
        <w:t>dentifying key themes and patterns in the data (coding)</w:t>
      </w:r>
      <w:r>
        <w:t>;</w:t>
      </w:r>
    </w:p>
    <w:p w:rsidR="00FA5605" w:rsidRPr="00D40DC6" w:rsidRDefault="00560281" w:rsidP="00EC02D0">
      <w:pPr>
        <w:pStyle w:val="Bullet"/>
      </w:pPr>
      <w:r>
        <w:t>D</w:t>
      </w:r>
      <w:r w:rsidR="00FA5605" w:rsidRPr="00D40DC6">
        <w:t>iscussing emerging themes and patterns across multiple coders</w:t>
      </w:r>
      <w:r>
        <w:t>;</w:t>
      </w:r>
      <w:r w:rsidR="00FA5605" w:rsidRPr="00D40DC6">
        <w:t xml:space="preserve"> </w:t>
      </w:r>
    </w:p>
    <w:p w:rsidR="00FA5605" w:rsidRPr="00D40DC6" w:rsidRDefault="00560281" w:rsidP="00EC02D0">
      <w:pPr>
        <w:pStyle w:val="Bullet"/>
      </w:pPr>
      <w:r>
        <w:t>M</w:t>
      </w:r>
      <w:r w:rsidR="00FA5605" w:rsidRPr="00D40DC6">
        <w:t>oderating themes and patterns in line with group discussion</w:t>
      </w:r>
      <w:r>
        <w:t>; and</w:t>
      </w:r>
    </w:p>
    <w:p w:rsidR="00FA5605" w:rsidRPr="00D40DC6" w:rsidRDefault="00560281" w:rsidP="00EC02D0">
      <w:pPr>
        <w:pStyle w:val="Bullet"/>
      </w:pPr>
      <w:r w:rsidRPr="00D40DC6">
        <w:t>Summarising</w:t>
      </w:r>
      <w:r w:rsidR="00FA5605" w:rsidRPr="00D40DC6">
        <w:t xml:space="preserve"> data according to key themes. </w:t>
      </w:r>
    </w:p>
    <w:p w:rsidR="009C2B00" w:rsidRDefault="00815B6D" w:rsidP="004B4BA1">
      <w:pPr>
        <w:pStyle w:val="Heading1"/>
        <w:jc w:val="both"/>
      </w:pPr>
      <w:r>
        <w:br w:type="page"/>
      </w:r>
      <w:bookmarkStart w:id="49" w:name="_Toc444007951"/>
      <w:r w:rsidR="00A925B3" w:rsidRPr="004B4BA1">
        <w:lastRenderedPageBreak/>
        <w:t>S</w:t>
      </w:r>
      <w:r w:rsidR="00DE0F03" w:rsidRPr="004B4BA1">
        <w:t xml:space="preserve">ection </w:t>
      </w:r>
      <w:r w:rsidR="00733B31">
        <w:t>2</w:t>
      </w:r>
      <w:r w:rsidR="006F4985" w:rsidRPr="004B4BA1">
        <w:t xml:space="preserve">: </w:t>
      </w:r>
      <w:r w:rsidR="009C2B00" w:rsidRPr="004B4BA1">
        <w:t>Stakeholder perceptions of the tobacco</w:t>
      </w:r>
      <w:r w:rsidR="00416DF1" w:rsidRPr="004B4BA1">
        <w:t xml:space="preserve"> plain packaging </w:t>
      </w:r>
      <w:r w:rsidR="009C2B00" w:rsidRPr="004B4BA1">
        <w:t>measure</w:t>
      </w:r>
      <w:bookmarkEnd w:id="49"/>
    </w:p>
    <w:p w:rsidR="00CD2976" w:rsidRPr="00BB29D7" w:rsidRDefault="00CD2976" w:rsidP="00961073">
      <w:r w:rsidRPr="00BB29D7">
        <w:t xml:space="preserve">In line with the logic and intention of the </w:t>
      </w:r>
      <w:r w:rsidRPr="00735E13">
        <w:t>Tobacco Plain Packaging Act</w:t>
      </w:r>
      <w:r w:rsidRPr="00BB29D7">
        <w:t xml:space="preserve"> we present first the results of the consultation process in relation to the effectiveness and efficiency of the tobacco plain packaging measure in achieving its intermediate objectives, followed by the results of the consultation process in relation to the measure’s contribution to longer</w:t>
      </w:r>
      <w:r w:rsidR="00951DE1">
        <w:t>-term public health objectives.</w:t>
      </w:r>
    </w:p>
    <w:p w:rsidR="00946E8A" w:rsidRPr="00C4402D" w:rsidRDefault="009B0F56" w:rsidP="0018586D">
      <w:pPr>
        <w:pStyle w:val="Heading2"/>
        <w:numPr>
          <w:ilvl w:val="1"/>
          <w:numId w:val="13"/>
        </w:numPr>
      </w:pPr>
      <w:bookmarkStart w:id="50" w:name="_Toc444007952"/>
      <w:r w:rsidRPr="00C4402D">
        <w:t xml:space="preserve">The intermediate objectives </w:t>
      </w:r>
      <w:r w:rsidR="00B21859">
        <w:t xml:space="preserve">section </w:t>
      </w:r>
      <w:r w:rsidR="00DC6169" w:rsidRPr="00FA7EC9">
        <w:t>3(2</w:t>
      </w:r>
      <w:r w:rsidRPr="00FA7EC9">
        <w:t>)</w:t>
      </w:r>
      <w:r w:rsidRPr="00EC1EEB">
        <w:rPr>
          <w:i/>
        </w:rPr>
        <w:t xml:space="preserve"> </w:t>
      </w:r>
      <w:r w:rsidRPr="00735E13">
        <w:t>of the TPP Act</w:t>
      </w:r>
      <w:bookmarkEnd w:id="50"/>
    </w:p>
    <w:p w:rsidR="00961073" w:rsidRPr="003D7EBB" w:rsidRDefault="00961073" w:rsidP="00961073">
      <w:pPr>
        <w:spacing w:before="60" w:after="60"/>
      </w:pPr>
      <w:bookmarkStart w:id="51" w:name="_Toc418770482"/>
      <w:bookmarkStart w:id="52" w:name="_Toc419889561"/>
      <w:bookmarkStart w:id="53" w:name="_Toc422478366"/>
      <w:r w:rsidRPr="003D7EBB">
        <w:t>This section of the report presents:</w:t>
      </w:r>
    </w:p>
    <w:p w:rsidR="00961073" w:rsidRPr="00961073" w:rsidRDefault="00560281" w:rsidP="00EC02D0">
      <w:pPr>
        <w:pStyle w:val="Bullet"/>
      </w:pPr>
      <w:r>
        <w:t>S</w:t>
      </w:r>
      <w:r w:rsidR="00961073" w:rsidRPr="00961073">
        <w:t>takeholder perceptions about whether the tobacco plain packaging measure has been effective and efficient in meeting its intermediate objectives</w:t>
      </w:r>
      <w:r>
        <w:t>; and</w:t>
      </w:r>
    </w:p>
    <w:p w:rsidR="00961073" w:rsidRPr="00961073" w:rsidRDefault="00560281" w:rsidP="00EC02D0">
      <w:pPr>
        <w:pStyle w:val="Bullet"/>
      </w:pPr>
      <w:r w:rsidRPr="00961073">
        <w:t>Sources</w:t>
      </w:r>
      <w:r w:rsidR="00961073" w:rsidRPr="00961073">
        <w:t xml:space="preserve"> cited by stakeholders which they put </w:t>
      </w:r>
      <w:r w:rsidR="00951DE1">
        <w:t>forward to support their views.</w:t>
      </w:r>
    </w:p>
    <w:p w:rsidR="00961073" w:rsidRPr="00A62252" w:rsidRDefault="00961073" w:rsidP="00961073">
      <w:pPr>
        <w:rPr>
          <w:rStyle w:val="SubtleEmphasis"/>
          <w:rFonts w:ascii="Times New Roman" w:hAnsi="Times New Roman" w:cs="Times New Roman"/>
          <w:sz w:val="24"/>
        </w:rPr>
      </w:pPr>
      <w:r w:rsidRPr="00A62252">
        <w:rPr>
          <w:rStyle w:val="SubtleEmphasis"/>
          <w:rFonts w:ascii="Times New Roman" w:hAnsi="Times New Roman" w:cs="Times New Roman"/>
          <w:sz w:val="24"/>
        </w:rPr>
        <w:t>It also:</w:t>
      </w:r>
    </w:p>
    <w:p w:rsidR="00961073" w:rsidRPr="00961073" w:rsidRDefault="00560281" w:rsidP="00EC02D0">
      <w:pPr>
        <w:pStyle w:val="Bullet"/>
        <w:rPr>
          <w:rStyle w:val="SubtleEmphasis"/>
          <w:rFonts w:ascii="Times New Roman" w:hAnsi="Times New Roman"/>
          <w:iCs w:val="0"/>
          <w:sz w:val="24"/>
        </w:rPr>
      </w:pPr>
      <w:r>
        <w:rPr>
          <w:rStyle w:val="SubtleEmphasis"/>
          <w:rFonts w:ascii="Times New Roman" w:hAnsi="Times New Roman"/>
          <w:iCs w:val="0"/>
          <w:sz w:val="24"/>
        </w:rPr>
        <w:t>D</w:t>
      </w:r>
      <w:r w:rsidR="00961073" w:rsidRPr="00961073">
        <w:rPr>
          <w:rStyle w:val="SubtleEmphasis"/>
          <w:rFonts w:ascii="Times New Roman" w:hAnsi="Times New Roman"/>
          <w:iCs w:val="0"/>
          <w:sz w:val="24"/>
        </w:rPr>
        <w:t>raws together the findings of stakeholder interviews and written submissions</w:t>
      </w:r>
      <w:r>
        <w:rPr>
          <w:rStyle w:val="SubtleEmphasis"/>
          <w:rFonts w:ascii="Times New Roman" w:hAnsi="Times New Roman"/>
          <w:iCs w:val="0"/>
          <w:sz w:val="24"/>
        </w:rPr>
        <w:t>;</w:t>
      </w:r>
    </w:p>
    <w:p w:rsidR="00961073" w:rsidRPr="00961073" w:rsidRDefault="00560281" w:rsidP="00EC02D0">
      <w:pPr>
        <w:pStyle w:val="Bullet"/>
        <w:rPr>
          <w:rStyle w:val="SubtleEmphasis"/>
          <w:rFonts w:ascii="Times New Roman" w:hAnsi="Times New Roman"/>
          <w:iCs w:val="0"/>
          <w:sz w:val="24"/>
        </w:rPr>
      </w:pPr>
      <w:r>
        <w:rPr>
          <w:rStyle w:val="SubtleEmphasis"/>
          <w:rFonts w:ascii="Times New Roman" w:hAnsi="Times New Roman"/>
          <w:iCs w:val="0"/>
          <w:sz w:val="24"/>
        </w:rPr>
        <w:t>P</w:t>
      </w:r>
      <w:r w:rsidR="00961073" w:rsidRPr="00961073">
        <w:rPr>
          <w:rStyle w:val="SubtleEmphasis"/>
          <w:rFonts w:ascii="Times New Roman" w:hAnsi="Times New Roman"/>
          <w:iCs w:val="0"/>
          <w:sz w:val="24"/>
        </w:rPr>
        <w:t>resents a high level summary of the views of stakeholders and does not seek to critique whether the statements or sources relied upon are accurate</w:t>
      </w:r>
      <w:r>
        <w:rPr>
          <w:rStyle w:val="SubtleEmphasis"/>
          <w:rFonts w:ascii="Times New Roman" w:hAnsi="Times New Roman"/>
          <w:iCs w:val="0"/>
          <w:sz w:val="24"/>
        </w:rPr>
        <w:t>; and</w:t>
      </w:r>
    </w:p>
    <w:p w:rsidR="00961073" w:rsidRPr="00961073" w:rsidRDefault="00560281" w:rsidP="00EC02D0">
      <w:pPr>
        <w:pStyle w:val="Bullet"/>
      </w:pPr>
      <w:r>
        <w:t>P</w:t>
      </w:r>
      <w:r w:rsidR="00FD3D96">
        <w:t xml:space="preserve">resents </w:t>
      </w:r>
      <w:r w:rsidR="00961073" w:rsidRPr="00961073">
        <w:t xml:space="preserve">verbatim comments from stakeholders who participated in the consultation process </w:t>
      </w:r>
      <w:r w:rsidR="00706B60" w:rsidRPr="00706B60">
        <w:t>in order to il</w:t>
      </w:r>
      <w:r w:rsidR="00706B60">
        <w:t>lustrate the diversity of views</w:t>
      </w:r>
      <w:r w:rsidR="00951DE1">
        <w:t>.</w:t>
      </w:r>
    </w:p>
    <w:p w:rsidR="00ED4C9D" w:rsidRPr="00735E13" w:rsidRDefault="009C2B00" w:rsidP="00493DCB">
      <w:pPr>
        <w:pStyle w:val="Heading3"/>
      </w:pPr>
      <w:bookmarkStart w:id="54" w:name="_Toc426122313"/>
      <w:bookmarkStart w:id="55" w:name="_Toc427306692"/>
      <w:r w:rsidRPr="00735E13">
        <w:t>Reducing the appeal of tobacco products to consumers</w:t>
      </w:r>
      <w:bookmarkEnd w:id="51"/>
      <w:bookmarkEnd w:id="52"/>
      <w:r w:rsidR="008307AA" w:rsidRPr="00735E13">
        <w:t xml:space="preserve"> (</w:t>
      </w:r>
      <w:r w:rsidR="00FD3D96" w:rsidRPr="00735E13">
        <w:t>section</w:t>
      </w:r>
      <w:r w:rsidR="008307AA" w:rsidRPr="00735E13">
        <w:t xml:space="preserve"> 3(2</w:t>
      </w:r>
      <w:proofErr w:type="gramStart"/>
      <w:r w:rsidR="008307AA" w:rsidRPr="00735E13">
        <w:t>)(</w:t>
      </w:r>
      <w:proofErr w:type="gramEnd"/>
      <w:r w:rsidR="008307AA" w:rsidRPr="00735E13">
        <w:t>a) of the TPP Act)</w:t>
      </w:r>
      <w:bookmarkEnd w:id="53"/>
      <w:bookmarkEnd w:id="54"/>
      <w:bookmarkEnd w:id="55"/>
    </w:p>
    <w:p w:rsidR="00CF11CA" w:rsidRDefault="00342F11" w:rsidP="00946E8A">
      <w:pPr>
        <w:spacing w:before="60" w:after="60"/>
      </w:pPr>
      <w:r>
        <w:t xml:space="preserve">Stakeholders </w:t>
      </w:r>
      <w:r w:rsidR="008A4A6B" w:rsidRPr="008D52FA">
        <w:t xml:space="preserve">were asked to </w:t>
      </w:r>
      <w:r w:rsidR="008A4A6B" w:rsidRPr="008A4A6B">
        <w:t>provide ratings and qualitative</w:t>
      </w:r>
      <w:r w:rsidR="008A4A6B">
        <w:t xml:space="preserve"> </w:t>
      </w:r>
      <w:r w:rsidR="008A4A6B" w:rsidRPr="008D52FA">
        <w:t xml:space="preserve">comment </w:t>
      </w:r>
      <w:r w:rsidR="00620FBA">
        <w:t xml:space="preserve">on the extent to which they </w:t>
      </w:r>
      <w:r w:rsidR="00620FBA" w:rsidRPr="008D52FA">
        <w:t>th</w:t>
      </w:r>
      <w:r w:rsidR="00620FBA">
        <w:t>ink</w:t>
      </w:r>
      <w:r w:rsidR="00620FBA" w:rsidRPr="008D52FA">
        <w:t xml:space="preserve"> that the tobacco</w:t>
      </w:r>
      <w:r w:rsidR="00416DF1">
        <w:t xml:space="preserve"> plain packaging </w:t>
      </w:r>
      <w:r w:rsidR="00620FBA" w:rsidRPr="008D52FA">
        <w:t>measure, by regulating the retail packaging and appeara</w:t>
      </w:r>
      <w:r w:rsidR="00946E8A">
        <w:t xml:space="preserve">nce of tobacco products, has </w:t>
      </w:r>
      <w:r w:rsidR="00620FBA" w:rsidRPr="008D52FA">
        <w:t>reduced the appeal of</w:t>
      </w:r>
      <w:r w:rsidR="00BC025C">
        <w:t xml:space="preserve"> tobacco products to consumers</w:t>
      </w:r>
      <w:r w:rsidR="00946E8A">
        <w:t>.</w:t>
      </w:r>
      <w:r w:rsidR="00692BD4">
        <w:t xml:space="preserve"> </w:t>
      </w:r>
      <w:r w:rsidR="00DC6169">
        <w:t>The l</w:t>
      </w:r>
      <w:r w:rsidR="00692BD4">
        <w:t xml:space="preserve">imitations </w:t>
      </w:r>
      <w:r w:rsidR="005A7B6A">
        <w:t>of this data are</w:t>
      </w:r>
      <w:r w:rsidR="00692BD4">
        <w:t xml:space="preserve"> </w:t>
      </w:r>
      <w:r w:rsidR="000D615A">
        <w:t>discussed at</w:t>
      </w:r>
      <w:r w:rsidR="00692BD4">
        <w:t xml:space="preserve"> </w:t>
      </w:r>
      <w:r w:rsidR="000D615A">
        <w:t>S</w:t>
      </w:r>
      <w:r w:rsidR="00692BD4">
        <w:t xml:space="preserve">ection </w:t>
      </w:r>
      <w:r w:rsidR="00DC6169">
        <w:t>1.3 of this report</w:t>
      </w:r>
      <w:r w:rsidR="00951DE1">
        <w:t>.</w:t>
      </w:r>
    </w:p>
    <w:p w:rsidR="00CD2ACA" w:rsidRPr="00C11494" w:rsidRDefault="00C11494" w:rsidP="00C11494">
      <w:pPr>
        <w:pStyle w:val="Heading4"/>
      </w:pPr>
      <w:r w:rsidRPr="00C11494">
        <w:t>Quantitative ratings</w:t>
      </w:r>
    </w:p>
    <w:p w:rsidR="00C11494" w:rsidRPr="00352E39" w:rsidRDefault="00352E39" w:rsidP="00C11494">
      <w:r w:rsidRPr="00352E39">
        <w:t>T</w:t>
      </w:r>
      <w:r w:rsidR="00E12A7B">
        <w:t>able 3</w:t>
      </w:r>
      <w:r w:rsidR="00C11494" w:rsidRPr="00352E39">
        <w:t xml:space="preserve"> presents </w:t>
      </w:r>
      <w:r w:rsidR="00D46A69" w:rsidRPr="00D46A69">
        <w:t>posit</w:t>
      </w:r>
      <w:r w:rsidR="00D46A69">
        <w:t xml:space="preserve">ive, negative and unsure </w:t>
      </w:r>
      <w:r w:rsidR="00C11494" w:rsidRPr="00352E39">
        <w:t>ratings</w:t>
      </w:r>
      <w:r w:rsidR="00D46A69">
        <w:t xml:space="preserve"> (and no response)</w:t>
      </w:r>
      <w:r w:rsidR="00C11494" w:rsidRPr="00352E39">
        <w:t xml:space="preserve"> by stakeholder category</w:t>
      </w:r>
      <w:r w:rsidR="00161269">
        <w:t xml:space="preserve"> </w:t>
      </w:r>
      <w:r w:rsidR="00161269" w:rsidRPr="00216E07">
        <w:rPr>
          <w:rFonts w:cs="Times New Roman"/>
          <w:bCs/>
        </w:rPr>
        <w:t>for those stakeholders who participated in the consultation process using the consultation protocol</w:t>
      </w:r>
      <w:r w:rsidR="00E12A7B" w:rsidRPr="00216E07">
        <w:rPr>
          <w:rFonts w:cs="Times New Roman"/>
          <w:bCs/>
        </w:rPr>
        <w:t xml:space="preserve"> only</w:t>
      </w:r>
      <w:r w:rsidR="00C11494" w:rsidRPr="00216E07">
        <w:t>.</w:t>
      </w:r>
      <w:r w:rsidR="00C11494" w:rsidRPr="00352E39">
        <w:t xml:space="preserve"> This allows the reader to identify the stakeholder groups who gave each type of rating and the distribution of rat</w:t>
      </w:r>
      <w:r w:rsidR="00951DE1">
        <w:t>ings across stakeholder groups.</w:t>
      </w:r>
    </w:p>
    <w:p w:rsidR="000918B6" w:rsidRPr="00E12A7B" w:rsidRDefault="00E12A7B" w:rsidP="00192E2B">
      <w:pPr>
        <w:pStyle w:val="TblHeading"/>
      </w:pPr>
      <w:proofErr w:type="gramStart"/>
      <w:r>
        <w:t>Table 3</w:t>
      </w:r>
      <w:r w:rsidR="00CF11CA" w:rsidRPr="00E12A7B">
        <w:t>.</w:t>
      </w:r>
      <w:proofErr w:type="gramEnd"/>
      <w:r w:rsidR="00CF11CA" w:rsidRPr="00E12A7B">
        <w:t xml:space="preserve"> Frequency of types of </w:t>
      </w:r>
      <w:r w:rsidR="00657275" w:rsidRPr="00E12A7B">
        <w:t xml:space="preserve">quantitative </w:t>
      </w:r>
      <w:r w:rsidR="00CF11CA" w:rsidRPr="00E12A7B">
        <w:t xml:space="preserve">ratings </w:t>
      </w:r>
      <w:r w:rsidR="00031D1D">
        <w:t>by</w:t>
      </w:r>
      <w:r w:rsidR="00EC02D0">
        <w:t xml:space="preserve"> stakeholders </w:t>
      </w:r>
      <w:r w:rsidR="00031D1D">
        <w:t>regarding whether the</w:t>
      </w:r>
      <w:r w:rsidR="00EC02D0" w:rsidRPr="008D52FA">
        <w:t xml:space="preserve"> tobacco</w:t>
      </w:r>
      <w:r w:rsidR="00EC02D0">
        <w:t xml:space="preserve"> plain packaging </w:t>
      </w:r>
      <w:r w:rsidR="00EC02D0" w:rsidRPr="008D52FA">
        <w:t>measure</w:t>
      </w:r>
      <w:r w:rsidR="00EC02D0">
        <w:t xml:space="preserve"> has reduced the appeal of tobacco products to consumers, </w:t>
      </w:r>
      <w:r w:rsidR="00CF11CA" w:rsidRPr="00E12A7B">
        <w:t>grouped by stakeholder category</w:t>
      </w:r>
      <w:r w:rsidR="001D03EB" w:rsidRPr="00E12A7B">
        <w:t xml:space="preserve"> </w:t>
      </w:r>
      <w:r w:rsidR="009B7235" w:rsidRPr="00E12A7B">
        <w:t>(</w:t>
      </w:r>
      <w:r w:rsidR="000918B6" w:rsidRPr="00E12A7B">
        <w:t xml:space="preserve">for those stakeholders who </w:t>
      </w:r>
      <w:r w:rsidR="00AA1374" w:rsidRPr="00E12A7B">
        <w:t xml:space="preserve">participated in the consultation process using the </w:t>
      </w:r>
      <w:r w:rsidR="000918B6" w:rsidRPr="00E12A7B">
        <w:t>consultation protocol</w:t>
      </w:r>
      <w:r w:rsidR="00AA1374" w:rsidRPr="00E12A7B">
        <w:t xml:space="preserve"> </w:t>
      </w:r>
      <w:r w:rsidR="00727469">
        <w:t>only</w:t>
      </w:r>
      <w:r w:rsidR="00EC02D0">
        <w:t>)</w:t>
      </w:r>
    </w:p>
    <w:tbl>
      <w:tblPr>
        <w:tblW w:w="4831" w:type="pct"/>
        <w:tblInd w:w="108" w:type="dxa"/>
        <w:tblLayout w:type="fixed"/>
        <w:tblCellMar>
          <w:left w:w="0" w:type="dxa"/>
          <w:right w:w="0" w:type="dxa"/>
        </w:tblCellMar>
        <w:tblLook w:val="04A0" w:firstRow="1" w:lastRow="0" w:firstColumn="1" w:lastColumn="0" w:noHBand="0" w:noVBand="1"/>
        <w:tblDescription w:val="For the various stakeholder groups, table 3 shows the frequency of stakeholder quantitative ratings for whether the measure has reduced the appeal of tobacco products to consumers.  It has five columns.  Read across for stakeholder group, positive result (to a great extent or somewhat), negative result (not at all or very little), unsure, and no response provided.  Data is presented in the format n/m where n is the number of stakeholders giving the particular rating and m is the total number of stakeholders in the relevant stakeholder group.  Those stakeholders who did not provide a quantitative rating have been included in the denominator as some did go on to provide qualitative responses."/>
      </w:tblPr>
      <w:tblGrid>
        <w:gridCol w:w="2269"/>
        <w:gridCol w:w="1843"/>
        <w:gridCol w:w="1559"/>
        <w:gridCol w:w="1559"/>
        <w:gridCol w:w="1700"/>
      </w:tblGrid>
      <w:tr w:rsidR="00FE7970" w:rsidRPr="00FE7970" w:rsidTr="00983D2D">
        <w:trPr>
          <w:trHeight w:val="704"/>
          <w:tblHeader/>
        </w:trPr>
        <w:tc>
          <w:tcPr>
            <w:tcW w:w="1270" w:type="pct"/>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A01F2D">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Stakeholder group</w:t>
            </w:r>
          </w:p>
        </w:tc>
        <w:tc>
          <w:tcPr>
            <w:tcW w:w="103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0B5EF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Positive result (to a great extent/ somewhat)</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0B5EF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Negative result (not at all/ very little) </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A01F2D">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Unsure </w:t>
            </w:r>
          </w:p>
        </w:tc>
        <w:tc>
          <w:tcPr>
            <w:tcW w:w="95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A01F2D">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No Response Provided</w:t>
            </w:r>
            <w:r w:rsidRPr="00FE7970">
              <w:rPr>
                <w:rStyle w:val="FootnoteReference"/>
                <w:rFonts w:cs="Times New Roman"/>
                <w:b/>
                <w:color w:val="000000"/>
                <w:sz w:val="18"/>
                <w:szCs w:val="18"/>
                <w:lang w:eastAsia="en-AU"/>
              </w:rPr>
              <w:footnoteReference w:customMarkFollows="1" w:id="8"/>
              <w:t>[1]</w:t>
            </w:r>
          </w:p>
        </w:tc>
      </w:tr>
      <w:tr w:rsidR="00322C44" w:rsidRPr="00FE7970" w:rsidTr="00943FF0">
        <w:trPr>
          <w:trHeight w:val="572"/>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2C44" w:rsidRPr="00FE7970" w:rsidRDefault="00322C44" w:rsidP="00322C44">
            <w:pPr>
              <w:spacing w:before="0" w:after="0"/>
              <w:rPr>
                <w:rFonts w:cs="Times New Roman"/>
                <w:color w:val="000000"/>
                <w:sz w:val="18"/>
                <w:szCs w:val="18"/>
                <w:lang w:eastAsia="en-AU"/>
              </w:rPr>
            </w:pPr>
            <w:r w:rsidRPr="00FE7970">
              <w:rPr>
                <w:rFonts w:cs="Times New Roman"/>
                <w:color w:val="000000"/>
                <w:sz w:val="18"/>
                <w:szCs w:val="18"/>
                <w:lang w:eastAsia="en-AU"/>
              </w:rPr>
              <w:t>Public Health Organisations/Experts</w:t>
            </w:r>
          </w:p>
          <w:p w:rsidR="00322C44" w:rsidRPr="00FE7970" w:rsidRDefault="00322C44" w:rsidP="00322C44">
            <w:pPr>
              <w:spacing w:before="0" w:after="0"/>
              <w:rPr>
                <w:rFonts w:cs="Times New Roman"/>
                <w:color w:val="000000"/>
                <w:sz w:val="18"/>
                <w:szCs w:val="18"/>
                <w:lang w:eastAsia="en-AU"/>
              </w:rPr>
            </w:pPr>
            <w:r w:rsidRPr="00FE7970">
              <w:rPr>
                <w:rFonts w:cs="Times New Roman"/>
                <w:color w:val="000000"/>
                <w:sz w:val="18"/>
                <w:szCs w:val="18"/>
                <w:lang w:eastAsia="en-AU"/>
              </w:rPr>
              <w:t>(n=</w:t>
            </w:r>
            <w:r w:rsidR="001C537C">
              <w:rPr>
                <w:rFonts w:cs="Times New Roman"/>
                <w:color w:val="000000"/>
                <w:sz w:val="18"/>
                <w:szCs w:val="18"/>
                <w:lang w:eastAsia="en-AU"/>
              </w:rPr>
              <w:t>20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Pr>
                <w:rFonts w:cs="Times New Roman"/>
                <w:color w:val="000000"/>
                <w:sz w:val="18"/>
                <w:szCs w:val="18"/>
                <w:lang w:eastAsia="en-AU"/>
              </w:rPr>
              <w:t>19/</w:t>
            </w:r>
            <w:r w:rsidR="001C537C">
              <w:rPr>
                <w:rFonts w:cs="Times New Roman"/>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985C30" w:rsidP="00322C44">
            <w:pPr>
              <w:spacing w:before="0" w:after="0"/>
              <w:jc w:val="center"/>
              <w:rPr>
                <w:rFonts w:cs="Times New Roman"/>
                <w:color w:val="000000"/>
                <w:sz w:val="18"/>
                <w:szCs w:val="18"/>
                <w:lang w:eastAsia="en-AU"/>
              </w:rPr>
            </w:pPr>
            <w:r>
              <w:rPr>
                <w:rFonts w:cs="Times New Roman"/>
                <w:color w:val="000000"/>
                <w:sz w:val="18"/>
                <w:szCs w:val="18"/>
                <w:lang w:eastAsia="en-AU"/>
              </w:rPr>
              <w:t>0</w:t>
            </w:r>
            <w:r w:rsidR="00322C44">
              <w:rPr>
                <w:rFonts w:cs="Times New Roman"/>
                <w:color w:val="000000"/>
                <w:sz w:val="18"/>
                <w:szCs w:val="18"/>
                <w:lang w:eastAsia="en-AU"/>
              </w:rPr>
              <w:t>/</w:t>
            </w:r>
            <w:r w:rsidR="001C537C">
              <w:rPr>
                <w:rFonts w:cs="Times New Roman"/>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Pr>
                <w:rFonts w:cs="Times New Roman"/>
                <w:color w:val="000000"/>
                <w:sz w:val="18"/>
                <w:szCs w:val="18"/>
                <w:lang w:eastAsia="en-AU"/>
              </w:rPr>
              <w:t>0/2</w:t>
            </w:r>
            <w:r w:rsidR="001C537C">
              <w:rPr>
                <w:rFonts w:cs="Times New Roman"/>
                <w:color w:val="000000"/>
                <w:sz w:val="18"/>
                <w:szCs w:val="18"/>
                <w:lang w:eastAsia="en-AU"/>
              </w:rPr>
              <w:t>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Pr>
                <w:rFonts w:cs="Times New Roman"/>
                <w:color w:val="000000"/>
                <w:sz w:val="18"/>
                <w:szCs w:val="18"/>
                <w:lang w:eastAsia="en-AU"/>
              </w:rPr>
              <w:t>1/2</w:t>
            </w:r>
            <w:r w:rsidR="001C537C">
              <w:rPr>
                <w:rFonts w:cs="Times New Roman"/>
                <w:color w:val="000000"/>
                <w:sz w:val="18"/>
                <w:szCs w:val="18"/>
                <w:lang w:eastAsia="en-AU"/>
              </w:rPr>
              <w:t>0</w:t>
            </w:r>
          </w:p>
        </w:tc>
      </w:tr>
      <w:tr w:rsidR="00322C44" w:rsidRPr="00FE7970" w:rsidTr="00943FF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2C44" w:rsidRPr="00FE7970" w:rsidRDefault="00322C44" w:rsidP="00322C44">
            <w:pPr>
              <w:spacing w:before="0" w:after="0"/>
              <w:rPr>
                <w:rFonts w:cs="Times New Roman"/>
                <w:color w:val="000000"/>
                <w:sz w:val="18"/>
                <w:szCs w:val="18"/>
                <w:lang w:eastAsia="en-AU"/>
              </w:rPr>
            </w:pPr>
            <w:r w:rsidRPr="00FE7970">
              <w:rPr>
                <w:rFonts w:cs="Times New Roman"/>
                <w:color w:val="000000"/>
                <w:sz w:val="18"/>
                <w:szCs w:val="18"/>
                <w:lang w:eastAsia="en-AU"/>
              </w:rPr>
              <w:lastRenderedPageBreak/>
              <w:t>Government Departments</w:t>
            </w:r>
          </w:p>
          <w:p w:rsidR="00322C44" w:rsidRPr="00FE7970" w:rsidRDefault="00322C44" w:rsidP="00322C44">
            <w:pPr>
              <w:spacing w:before="0" w:after="0"/>
              <w:rPr>
                <w:rFonts w:cs="Times New Roman"/>
                <w:color w:val="000000"/>
                <w:sz w:val="18"/>
                <w:szCs w:val="18"/>
                <w:lang w:eastAsia="en-AU"/>
              </w:rPr>
            </w:pPr>
            <w:r>
              <w:rPr>
                <w:rFonts w:cs="Times New Roman"/>
                <w:color w:val="000000"/>
                <w:sz w:val="18"/>
                <w:szCs w:val="18"/>
                <w:lang w:eastAsia="en-AU"/>
              </w:rPr>
              <w:t>(n=8</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sidRPr="00C02ED0">
              <w:rPr>
                <w:rFonts w:cs="Times New Roman"/>
                <w:color w:val="000000"/>
                <w:sz w:val="18"/>
                <w:szCs w:val="18"/>
                <w:lang w:eastAsia="en-AU"/>
              </w:rPr>
              <w:t>7</w:t>
            </w:r>
            <w:r>
              <w:rPr>
                <w:rFonts w:cs="Times New Roman"/>
                <w:color w:val="000000"/>
                <w:sz w:val="18"/>
                <w:szCs w:val="18"/>
                <w:lang w:eastAsia="en-AU"/>
              </w:rPr>
              <w:t>/8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Pr>
                <w:rFonts w:cs="Times New Roman"/>
                <w:color w:val="000000"/>
                <w:sz w:val="18"/>
                <w:szCs w:val="18"/>
                <w:lang w:eastAsia="en-AU"/>
              </w:rPr>
              <w:t>0</w:t>
            </w:r>
            <w:r w:rsidR="00F55F39">
              <w:rPr>
                <w:rFonts w:cs="Times New Roman"/>
                <w:color w:val="000000"/>
                <w:sz w:val="18"/>
                <w:szCs w:val="18"/>
                <w:lang w:eastAsia="en-AU"/>
              </w:rPr>
              <w:t>/8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Pr>
                <w:rFonts w:cs="Times New Roman"/>
                <w:color w:val="000000"/>
                <w:sz w:val="18"/>
                <w:szCs w:val="18"/>
                <w:lang w:eastAsia="en-AU"/>
              </w:rPr>
              <w:t>1/8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Pr>
                <w:rFonts w:cs="Times New Roman"/>
                <w:color w:val="000000"/>
                <w:sz w:val="18"/>
                <w:szCs w:val="18"/>
                <w:lang w:eastAsia="en-AU"/>
              </w:rPr>
              <w:t>0</w:t>
            </w:r>
            <w:r w:rsidR="00F55F39">
              <w:rPr>
                <w:rFonts w:cs="Times New Roman"/>
                <w:color w:val="000000"/>
                <w:sz w:val="18"/>
                <w:szCs w:val="18"/>
                <w:lang w:eastAsia="en-AU"/>
              </w:rPr>
              <w:t>/8</w:t>
            </w:r>
          </w:p>
        </w:tc>
      </w:tr>
      <w:tr w:rsidR="00322C44" w:rsidRPr="00FE7970" w:rsidTr="00943FF0">
        <w:trPr>
          <w:trHeight w:val="485"/>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2C44" w:rsidRPr="00FE7970" w:rsidRDefault="00322C44" w:rsidP="00322C44">
            <w:pPr>
              <w:spacing w:before="0" w:after="0"/>
              <w:rPr>
                <w:rFonts w:cs="Times New Roman"/>
                <w:color w:val="000000"/>
                <w:sz w:val="18"/>
                <w:szCs w:val="18"/>
                <w:lang w:eastAsia="en-AU"/>
              </w:rPr>
            </w:pPr>
            <w:r w:rsidRPr="00FE7970">
              <w:rPr>
                <w:rFonts w:cs="Times New Roman"/>
                <w:color w:val="000000"/>
                <w:sz w:val="18"/>
                <w:szCs w:val="18"/>
                <w:lang w:eastAsia="en-AU"/>
              </w:rPr>
              <w:t>Non-Government Organisations</w:t>
            </w:r>
          </w:p>
          <w:p w:rsidR="00322C44" w:rsidRPr="00FE7970" w:rsidRDefault="00322C44" w:rsidP="00322C44">
            <w:pPr>
              <w:spacing w:before="0" w:after="0"/>
              <w:rPr>
                <w:rFonts w:cs="Times New Roman"/>
                <w:color w:val="000000"/>
                <w:sz w:val="18"/>
                <w:szCs w:val="18"/>
                <w:lang w:eastAsia="en-AU"/>
              </w:rPr>
            </w:pPr>
            <w:r w:rsidRPr="00FE7970">
              <w:rPr>
                <w:rFonts w:cs="Times New Roman"/>
                <w:color w:val="000000"/>
                <w:sz w:val="18"/>
                <w:szCs w:val="18"/>
                <w:lang w:eastAsia="en-AU"/>
              </w:rPr>
              <w:t>(n=14)</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b/>
                <w:color w:val="000000"/>
                <w:sz w:val="18"/>
                <w:szCs w:val="18"/>
                <w:lang w:eastAsia="en-AU"/>
              </w:rPr>
            </w:pPr>
            <w:r w:rsidRPr="00C02ED0">
              <w:rPr>
                <w:rFonts w:cs="Times New Roman"/>
                <w:color w:val="000000"/>
                <w:sz w:val="18"/>
                <w:szCs w:val="18"/>
                <w:lang w:eastAsia="en-AU"/>
              </w:rPr>
              <w:t>6</w:t>
            </w:r>
            <w:r>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sidRPr="00C02ED0">
              <w:rPr>
                <w:rFonts w:cs="Times New Roman"/>
                <w:color w:val="000000"/>
                <w:sz w:val="18"/>
                <w:szCs w:val="18"/>
                <w:lang w:eastAsia="en-AU"/>
              </w:rPr>
              <w:t>6</w:t>
            </w:r>
            <w:r>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sidRPr="00C02ED0">
              <w:rPr>
                <w:rFonts w:cs="Times New Roman"/>
                <w:color w:val="000000"/>
                <w:sz w:val="18"/>
                <w:szCs w:val="18"/>
                <w:lang w:eastAsia="en-AU"/>
              </w:rPr>
              <w:t>1</w:t>
            </w:r>
            <w:r>
              <w:rPr>
                <w:rFonts w:cs="Times New Roman"/>
                <w:color w:val="000000"/>
                <w:sz w:val="18"/>
                <w:szCs w:val="18"/>
                <w:lang w:eastAsia="en-AU"/>
              </w:rPr>
              <w:t>/14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sidRPr="00C02ED0">
              <w:rPr>
                <w:rFonts w:cs="Times New Roman"/>
                <w:color w:val="000000"/>
                <w:sz w:val="18"/>
                <w:szCs w:val="18"/>
                <w:lang w:eastAsia="en-AU"/>
              </w:rPr>
              <w:t>1</w:t>
            </w:r>
            <w:r>
              <w:rPr>
                <w:rFonts w:cs="Times New Roman"/>
                <w:color w:val="000000"/>
                <w:sz w:val="18"/>
                <w:szCs w:val="18"/>
                <w:lang w:eastAsia="en-AU"/>
              </w:rPr>
              <w:t>/14</w:t>
            </w:r>
          </w:p>
        </w:tc>
      </w:tr>
      <w:tr w:rsidR="00BC24EB" w:rsidRPr="00FE7970" w:rsidTr="00943FF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24EB" w:rsidRPr="00FE7970" w:rsidRDefault="00BC24EB" w:rsidP="00BC24EB">
            <w:pPr>
              <w:spacing w:before="0" w:after="0"/>
              <w:rPr>
                <w:rFonts w:cs="Times New Roman"/>
                <w:color w:val="000000"/>
                <w:sz w:val="18"/>
                <w:szCs w:val="18"/>
                <w:lang w:eastAsia="en-AU"/>
              </w:rPr>
            </w:pPr>
            <w:r w:rsidRPr="00FE7970">
              <w:rPr>
                <w:rFonts w:cs="Times New Roman"/>
                <w:color w:val="000000"/>
                <w:sz w:val="18"/>
                <w:szCs w:val="18"/>
                <w:lang w:eastAsia="en-AU"/>
              </w:rPr>
              <w:t>Tobacco Companies</w:t>
            </w:r>
          </w:p>
          <w:p w:rsidR="00BC24EB" w:rsidRPr="00FE7970" w:rsidRDefault="00BC24EB" w:rsidP="00BC24EB">
            <w:pPr>
              <w:spacing w:before="0" w:after="0"/>
              <w:rPr>
                <w:rFonts w:cs="Times New Roman"/>
                <w:color w:val="000000"/>
                <w:sz w:val="18"/>
                <w:szCs w:val="18"/>
                <w:lang w:eastAsia="en-AU"/>
              </w:rPr>
            </w:pPr>
            <w:r>
              <w:rPr>
                <w:rFonts w:cs="Times New Roman"/>
                <w:color w:val="000000"/>
                <w:sz w:val="18"/>
                <w:szCs w:val="18"/>
                <w:lang w:eastAsia="en-AU"/>
              </w:rPr>
              <w:t>(n=3</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0</w:t>
            </w:r>
            <w:r w:rsidR="00F55F39">
              <w:rPr>
                <w:rFonts w:cs="Times New Roman"/>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0</w:t>
            </w:r>
            <w:r w:rsidR="00F55F39">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1/3</w:t>
            </w:r>
          </w:p>
        </w:tc>
      </w:tr>
      <w:tr w:rsidR="00322C44" w:rsidRPr="00FE7970" w:rsidTr="00943FF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2C44" w:rsidRPr="00FE7970" w:rsidRDefault="00322C44" w:rsidP="00322C44">
            <w:pPr>
              <w:spacing w:before="0" w:after="0"/>
              <w:rPr>
                <w:rFonts w:cs="Times New Roman"/>
                <w:color w:val="000000"/>
                <w:sz w:val="18"/>
                <w:szCs w:val="18"/>
                <w:lang w:eastAsia="en-AU"/>
              </w:rPr>
            </w:pPr>
            <w:r w:rsidRPr="00FE7970">
              <w:rPr>
                <w:rFonts w:cs="Times New Roman"/>
                <w:color w:val="000000"/>
                <w:sz w:val="18"/>
                <w:szCs w:val="18"/>
                <w:lang w:eastAsia="en-AU"/>
              </w:rPr>
              <w:t>Tobacco Wholesalers/</w:t>
            </w:r>
          </w:p>
          <w:p w:rsidR="00322C44" w:rsidRPr="00FE7970" w:rsidRDefault="00322C44" w:rsidP="00322C44">
            <w:pPr>
              <w:spacing w:before="0" w:after="0"/>
              <w:rPr>
                <w:rFonts w:cs="Times New Roman"/>
                <w:color w:val="000000"/>
                <w:sz w:val="18"/>
                <w:szCs w:val="18"/>
                <w:lang w:eastAsia="en-AU"/>
              </w:rPr>
            </w:pPr>
            <w:r w:rsidRPr="00FE7970">
              <w:rPr>
                <w:rFonts w:cs="Times New Roman"/>
                <w:color w:val="000000"/>
                <w:sz w:val="18"/>
                <w:szCs w:val="18"/>
                <w:lang w:eastAsia="en-AU"/>
              </w:rPr>
              <w:t>Importers</w:t>
            </w:r>
          </w:p>
          <w:p w:rsidR="00322C44" w:rsidRPr="00FE7970" w:rsidRDefault="00322C44" w:rsidP="00322C44">
            <w:pPr>
              <w:spacing w:before="0" w:after="0"/>
              <w:rPr>
                <w:rFonts w:cs="Times New Roman"/>
                <w:color w:val="000000"/>
                <w:sz w:val="18"/>
                <w:szCs w:val="18"/>
                <w:lang w:eastAsia="en-AU"/>
              </w:rPr>
            </w:pPr>
            <w:r w:rsidRPr="00FE7970">
              <w:rPr>
                <w:rFonts w:cs="Times New Roman"/>
                <w:color w:val="000000"/>
                <w:sz w:val="18"/>
                <w:szCs w:val="18"/>
                <w:lang w:eastAsia="en-AU"/>
              </w:rPr>
              <w:t>(n=3)</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Pr>
                <w:rFonts w:cs="Times New Roman"/>
                <w:color w:val="000000"/>
                <w:sz w:val="18"/>
                <w:szCs w:val="18"/>
                <w:lang w:eastAsia="en-AU"/>
              </w:rPr>
              <w:t>1/3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Pr>
                <w:rFonts w:cs="Times New Roman"/>
                <w:color w:val="000000"/>
                <w:sz w:val="18"/>
                <w:szCs w:val="18"/>
                <w:lang w:eastAsia="en-AU"/>
              </w:rPr>
              <w:t>0</w:t>
            </w:r>
            <w:r w:rsidR="00F55F39">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Pr>
                <w:rFonts w:cs="Times New Roman"/>
                <w:color w:val="000000"/>
                <w:sz w:val="18"/>
                <w:szCs w:val="18"/>
                <w:lang w:eastAsia="en-AU"/>
              </w:rPr>
              <w:t>0</w:t>
            </w:r>
            <w:r w:rsidR="00F55F39">
              <w:rPr>
                <w:rFonts w:cs="Times New Roman"/>
                <w:color w:val="000000"/>
                <w:sz w:val="18"/>
                <w:szCs w:val="18"/>
                <w:lang w:eastAsia="en-AU"/>
              </w:rPr>
              <w:t>/3</w:t>
            </w:r>
          </w:p>
        </w:tc>
      </w:tr>
      <w:tr w:rsidR="00322C44" w:rsidRPr="00FE7970" w:rsidTr="00943FF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2C44" w:rsidRPr="00FE7970" w:rsidRDefault="00322C44" w:rsidP="00322C44">
            <w:pPr>
              <w:spacing w:before="0" w:after="0"/>
              <w:rPr>
                <w:rFonts w:cs="Times New Roman"/>
                <w:color w:val="000000"/>
                <w:sz w:val="18"/>
                <w:szCs w:val="18"/>
                <w:lang w:eastAsia="en-AU"/>
              </w:rPr>
            </w:pPr>
            <w:r w:rsidRPr="00FE7970">
              <w:rPr>
                <w:rFonts w:cs="Times New Roman"/>
                <w:color w:val="000000"/>
                <w:sz w:val="18"/>
                <w:szCs w:val="18"/>
                <w:lang w:eastAsia="en-AU"/>
              </w:rPr>
              <w:t>Tobacco Retailers</w:t>
            </w:r>
          </w:p>
          <w:p w:rsidR="00322C44" w:rsidRPr="00FE7970" w:rsidRDefault="00322C44" w:rsidP="00322C44">
            <w:pPr>
              <w:spacing w:before="0" w:after="0"/>
              <w:rPr>
                <w:rFonts w:cs="Times New Roman"/>
                <w:color w:val="000000"/>
                <w:sz w:val="18"/>
                <w:szCs w:val="18"/>
                <w:lang w:eastAsia="en-AU"/>
              </w:rPr>
            </w:pPr>
            <w:r w:rsidRPr="00FE7970">
              <w:rPr>
                <w:rFonts w:cs="Times New Roman"/>
                <w:color w:val="000000"/>
                <w:sz w:val="18"/>
                <w:szCs w:val="18"/>
                <w:lang w:eastAsia="en-AU"/>
              </w:rPr>
              <w:t>(n=68)</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sidRPr="00C02ED0">
              <w:rPr>
                <w:rFonts w:cs="Times New Roman"/>
                <w:color w:val="000000"/>
                <w:sz w:val="18"/>
                <w:szCs w:val="18"/>
                <w:lang w:eastAsia="en-AU"/>
              </w:rPr>
              <w:t>4</w:t>
            </w:r>
            <w:r>
              <w:rPr>
                <w:rFonts w:cs="Times New Roman"/>
                <w:color w:val="000000"/>
                <w:sz w:val="18"/>
                <w:szCs w:val="18"/>
                <w:lang w:eastAsia="en-AU"/>
              </w:rPr>
              <w:t>/68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sidRPr="00C02ED0">
              <w:rPr>
                <w:rFonts w:cs="Times New Roman"/>
                <w:color w:val="000000"/>
                <w:sz w:val="18"/>
                <w:szCs w:val="18"/>
                <w:lang w:eastAsia="en-AU"/>
              </w:rPr>
              <w:t>59</w:t>
            </w:r>
            <w:r>
              <w:rPr>
                <w:rFonts w:cs="Times New Roman"/>
                <w:color w:val="000000"/>
                <w:sz w:val="18"/>
                <w:szCs w:val="18"/>
                <w:lang w:eastAsia="en-AU"/>
              </w:rPr>
              <w:t>/68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sidRPr="00C02ED0">
              <w:rPr>
                <w:rFonts w:cs="Times New Roman"/>
                <w:color w:val="000000"/>
                <w:sz w:val="18"/>
                <w:szCs w:val="18"/>
                <w:lang w:eastAsia="en-AU"/>
              </w:rPr>
              <w:t>4</w:t>
            </w:r>
            <w:r>
              <w:rPr>
                <w:rFonts w:cs="Times New Roman"/>
                <w:color w:val="000000"/>
                <w:sz w:val="18"/>
                <w:szCs w:val="18"/>
                <w:lang w:eastAsia="en-AU"/>
              </w:rPr>
              <w:t>/68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sidRPr="00C02ED0">
              <w:rPr>
                <w:rFonts w:cs="Times New Roman"/>
                <w:color w:val="000000"/>
                <w:sz w:val="18"/>
                <w:szCs w:val="18"/>
                <w:lang w:eastAsia="en-AU"/>
              </w:rPr>
              <w:t>1</w:t>
            </w:r>
            <w:r>
              <w:rPr>
                <w:rFonts w:cs="Times New Roman"/>
                <w:color w:val="000000"/>
                <w:sz w:val="18"/>
                <w:szCs w:val="18"/>
                <w:lang w:eastAsia="en-AU"/>
              </w:rPr>
              <w:t>/68</w:t>
            </w:r>
          </w:p>
        </w:tc>
      </w:tr>
      <w:tr w:rsidR="00322C44" w:rsidRPr="00FE7970" w:rsidTr="00943FF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2C44" w:rsidRPr="00FE7970" w:rsidRDefault="00322C44" w:rsidP="00322C44">
            <w:pPr>
              <w:spacing w:before="0" w:after="0"/>
              <w:rPr>
                <w:rFonts w:cs="Times New Roman"/>
                <w:color w:val="000000"/>
                <w:sz w:val="18"/>
                <w:szCs w:val="18"/>
                <w:lang w:eastAsia="en-AU"/>
              </w:rPr>
            </w:pPr>
            <w:r w:rsidRPr="00FE7970">
              <w:rPr>
                <w:rFonts w:cs="Times New Roman"/>
                <w:color w:val="000000"/>
                <w:sz w:val="18"/>
                <w:szCs w:val="18"/>
                <w:lang w:eastAsia="en-AU"/>
              </w:rPr>
              <w:t>Consumers</w:t>
            </w:r>
          </w:p>
          <w:p w:rsidR="00322C44" w:rsidRPr="00FE7970" w:rsidRDefault="00322C44" w:rsidP="00322C44">
            <w:pPr>
              <w:spacing w:before="0" w:after="0"/>
              <w:rPr>
                <w:rFonts w:cs="Times New Roman"/>
                <w:color w:val="000000"/>
                <w:sz w:val="18"/>
                <w:szCs w:val="18"/>
                <w:lang w:eastAsia="en-AU"/>
              </w:rPr>
            </w:pPr>
            <w:r w:rsidRPr="00FE7970">
              <w:rPr>
                <w:rFonts w:cs="Times New Roman"/>
                <w:color w:val="000000"/>
                <w:sz w:val="18"/>
                <w:szCs w:val="18"/>
                <w:lang w:eastAsia="en-AU"/>
              </w:rPr>
              <w:t>(n=412)</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sidRPr="00C02ED0">
              <w:rPr>
                <w:rFonts w:cs="Times New Roman"/>
                <w:color w:val="000000"/>
                <w:sz w:val="18"/>
                <w:szCs w:val="18"/>
                <w:lang w:eastAsia="en-AU"/>
              </w:rPr>
              <w:t>16</w:t>
            </w:r>
            <w:r>
              <w:rPr>
                <w:rFonts w:cs="Times New Roman"/>
                <w:color w:val="000000"/>
                <w:sz w:val="18"/>
                <w:szCs w:val="18"/>
                <w:lang w:eastAsia="en-AU"/>
              </w:rPr>
              <w:t>/412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sidRPr="00C02ED0">
              <w:rPr>
                <w:rFonts w:cs="Times New Roman"/>
                <w:color w:val="000000"/>
                <w:sz w:val="18"/>
                <w:szCs w:val="18"/>
                <w:lang w:eastAsia="en-AU"/>
              </w:rPr>
              <w:t>388</w:t>
            </w:r>
            <w:r>
              <w:rPr>
                <w:rFonts w:cs="Times New Roman"/>
                <w:color w:val="000000"/>
                <w:sz w:val="18"/>
                <w:szCs w:val="18"/>
                <w:lang w:eastAsia="en-AU"/>
              </w:rPr>
              <w:t>/412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sidRPr="00C02ED0">
              <w:rPr>
                <w:rFonts w:cs="Times New Roman"/>
                <w:color w:val="000000"/>
                <w:sz w:val="18"/>
                <w:szCs w:val="18"/>
                <w:lang w:eastAsia="en-AU"/>
              </w:rPr>
              <w:t>7</w:t>
            </w:r>
            <w:r>
              <w:rPr>
                <w:rFonts w:cs="Times New Roman"/>
                <w:color w:val="000000"/>
                <w:sz w:val="18"/>
                <w:szCs w:val="18"/>
                <w:lang w:eastAsia="en-AU"/>
              </w:rPr>
              <w:t>/412</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sidRPr="00C02ED0">
              <w:rPr>
                <w:rFonts w:cs="Times New Roman"/>
                <w:color w:val="000000"/>
                <w:sz w:val="18"/>
                <w:szCs w:val="18"/>
                <w:lang w:eastAsia="en-AU"/>
              </w:rPr>
              <w:t>1</w:t>
            </w:r>
            <w:r>
              <w:rPr>
                <w:rFonts w:cs="Times New Roman"/>
                <w:color w:val="000000"/>
                <w:sz w:val="18"/>
                <w:szCs w:val="18"/>
                <w:lang w:eastAsia="en-AU"/>
              </w:rPr>
              <w:t>/412</w:t>
            </w:r>
          </w:p>
        </w:tc>
      </w:tr>
      <w:tr w:rsidR="00322C44" w:rsidRPr="00FE7970" w:rsidTr="00943FF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2C44" w:rsidRPr="00FE7970" w:rsidRDefault="00322C44" w:rsidP="00322C44">
            <w:pPr>
              <w:spacing w:before="0" w:after="0"/>
              <w:rPr>
                <w:rFonts w:cs="Times New Roman"/>
                <w:color w:val="000000"/>
                <w:sz w:val="18"/>
                <w:szCs w:val="18"/>
                <w:lang w:eastAsia="en-AU"/>
              </w:rPr>
            </w:pPr>
            <w:r w:rsidRPr="00FE7970">
              <w:rPr>
                <w:rFonts w:cs="Times New Roman"/>
                <w:color w:val="000000"/>
                <w:sz w:val="18"/>
                <w:szCs w:val="18"/>
                <w:lang w:eastAsia="en-AU"/>
              </w:rPr>
              <w:t>Other</w:t>
            </w:r>
          </w:p>
          <w:p w:rsidR="00322C44" w:rsidRPr="00FE7970" w:rsidRDefault="00322C44" w:rsidP="00322C44">
            <w:pPr>
              <w:spacing w:before="0" w:after="0"/>
              <w:rPr>
                <w:rFonts w:cs="Times New Roman"/>
                <w:color w:val="000000"/>
                <w:sz w:val="18"/>
                <w:szCs w:val="18"/>
                <w:lang w:eastAsia="en-AU"/>
              </w:rPr>
            </w:pPr>
            <w:r w:rsidRPr="00FE7970">
              <w:rPr>
                <w:rFonts w:cs="Times New Roman"/>
                <w:color w:val="000000"/>
                <w:sz w:val="18"/>
                <w:szCs w:val="18"/>
                <w:lang w:eastAsia="en-AU"/>
              </w:rPr>
              <w:t>(n=</w:t>
            </w:r>
            <w:r w:rsidR="001C537C">
              <w:rPr>
                <w:rFonts w:cs="Times New Roman"/>
                <w:color w:val="000000"/>
                <w:sz w:val="18"/>
                <w:szCs w:val="18"/>
                <w:lang w:eastAsia="en-AU"/>
              </w:rPr>
              <w:t>14</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742A66" w:rsidP="00322C44">
            <w:pPr>
              <w:spacing w:before="0" w:after="0"/>
              <w:jc w:val="center"/>
              <w:rPr>
                <w:rFonts w:cs="Times New Roman"/>
                <w:color w:val="000000"/>
                <w:sz w:val="18"/>
                <w:szCs w:val="18"/>
                <w:lang w:eastAsia="en-AU"/>
              </w:rPr>
            </w:pPr>
            <w:r>
              <w:rPr>
                <w:rFonts w:cs="Times New Roman"/>
                <w:color w:val="000000"/>
                <w:sz w:val="18"/>
                <w:szCs w:val="18"/>
                <w:lang w:eastAsia="en-AU"/>
              </w:rPr>
              <w:t>0</w:t>
            </w:r>
            <w:r w:rsidR="00322C44">
              <w:rPr>
                <w:rFonts w:cs="Times New Roman"/>
                <w:color w:val="000000"/>
                <w:sz w:val="18"/>
                <w:szCs w:val="18"/>
                <w:lang w:eastAsia="en-AU"/>
              </w:rPr>
              <w:t>/</w:t>
            </w:r>
            <w:r w:rsidR="001C537C">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1C537C" w:rsidP="00322C44">
            <w:pPr>
              <w:spacing w:before="0" w:after="0"/>
              <w:jc w:val="center"/>
              <w:rPr>
                <w:rFonts w:cs="Times New Roman"/>
                <w:color w:val="000000"/>
                <w:sz w:val="18"/>
                <w:szCs w:val="18"/>
                <w:lang w:eastAsia="en-AU"/>
              </w:rPr>
            </w:pPr>
            <w:r>
              <w:rPr>
                <w:rFonts w:cs="Times New Roman"/>
                <w:color w:val="000000"/>
                <w:sz w:val="18"/>
                <w:szCs w:val="18"/>
                <w:lang w:eastAsia="en-AU"/>
              </w:rPr>
              <w:t>13</w:t>
            </w:r>
            <w:r w:rsidR="00742A66">
              <w:rPr>
                <w:rFonts w:cs="Times New Roman"/>
                <w:color w:val="000000"/>
                <w:sz w:val="18"/>
                <w:szCs w:val="18"/>
                <w:lang w:eastAsia="en-AU"/>
              </w:rPr>
              <w:t>/</w:t>
            </w:r>
            <w:r>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Pr>
                <w:rFonts w:cs="Times New Roman"/>
                <w:color w:val="000000"/>
                <w:sz w:val="18"/>
                <w:szCs w:val="18"/>
                <w:lang w:eastAsia="en-AU"/>
              </w:rPr>
              <w:t>1/</w:t>
            </w:r>
            <w:r w:rsidR="001C537C">
              <w:rPr>
                <w:rFonts w:cs="Times New Roman"/>
                <w:color w:val="000000"/>
                <w:sz w:val="18"/>
                <w:szCs w:val="18"/>
                <w:lang w:eastAsia="en-AU"/>
              </w:rPr>
              <w:t>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Pr>
                <w:rFonts w:cs="Times New Roman"/>
                <w:color w:val="000000"/>
                <w:sz w:val="18"/>
                <w:szCs w:val="18"/>
                <w:lang w:eastAsia="en-AU"/>
              </w:rPr>
              <w:t>0</w:t>
            </w:r>
            <w:r w:rsidR="00742A66">
              <w:rPr>
                <w:rFonts w:cs="Times New Roman"/>
                <w:color w:val="000000"/>
                <w:sz w:val="18"/>
                <w:szCs w:val="18"/>
                <w:lang w:eastAsia="en-AU"/>
              </w:rPr>
              <w:t>/</w:t>
            </w:r>
            <w:r w:rsidR="001C537C">
              <w:rPr>
                <w:rFonts w:cs="Times New Roman"/>
                <w:color w:val="000000"/>
                <w:sz w:val="18"/>
                <w:szCs w:val="18"/>
                <w:lang w:eastAsia="en-AU"/>
              </w:rPr>
              <w:t>14</w:t>
            </w:r>
          </w:p>
        </w:tc>
      </w:tr>
      <w:tr w:rsidR="00322C44" w:rsidRPr="00FE7970" w:rsidTr="00943FF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2C44" w:rsidRPr="00FE7970" w:rsidRDefault="00322C44" w:rsidP="00322C44">
            <w:pPr>
              <w:spacing w:before="0" w:after="0"/>
              <w:rPr>
                <w:rFonts w:cs="Times New Roman"/>
                <w:color w:val="000000"/>
                <w:sz w:val="18"/>
                <w:szCs w:val="18"/>
                <w:lang w:eastAsia="en-AU"/>
              </w:rPr>
            </w:pPr>
            <w:r w:rsidRPr="00FE7970">
              <w:rPr>
                <w:rFonts w:cs="Times New Roman"/>
                <w:color w:val="000000"/>
                <w:sz w:val="18"/>
                <w:szCs w:val="18"/>
                <w:lang w:eastAsia="en-AU"/>
              </w:rPr>
              <w:t>Unspecified</w:t>
            </w:r>
          </w:p>
          <w:p w:rsidR="00322C44" w:rsidRPr="00FE7970" w:rsidRDefault="00322C44" w:rsidP="00322C44">
            <w:pPr>
              <w:spacing w:before="0" w:after="0"/>
              <w:rPr>
                <w:rFonts w:cs="Times New Roman"/>
                <w:color w:val="000000"/>
                <w:sz w:val="18"/>
                <w:szCs w:val="18"/>
                <w:lang w:eastAsia="en-AU"/>
              </w:rPr>
            </w:pPr>
            <w:r>
              <w:rPr>
                <w:rFonts w:cs="Times New Roman"/>
                <w:color w:val="000000"/>
                <w:sz w:val="18"/>
                <w:szCs w:val="18"/>
                <w:lang w:eastAsia="en-AU"/>
              </w:rPr>
              <w:t>(n= 10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sidRPr="00C02ED0">
              <w:rPr>
                <w:rFonts w:cs="Times New Roman"/>
                <w:color w:val="000000"/>
                <w:sz w:val="18"/>
                <w:szCs w:val="18"/>
                <w:lang w:eastAsia="en-AU"/>
              </w:rPr>
              <w:t>1</w:t>
            </w:r>
            <w:r>
              <w:rPr>
                <w:rFonts w:cs="Times New Roman"/>
                <w:color w:val="000000"/>
                <w:sz w:val="18"/>
                <w:szCs w:val="18"/>
                <w:lang w:eastAsia="en-AU"/>
              </w:rPr>
              <w:t>/10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Pr>
                <w:rFonts w:cs="Times New Roman"/>
                <w:color w:val="000000"/>
                <w:sz w:val="18"/>
                <w:szCs w:val="18"/>
                <w:lang w:eastAsia="en-AU"/>
              </w:rPr>
              <w:t>9/10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Pr>
                <w:rFonts w:cs="Times New Roman"/>
                <w:color w:val="000000"/>
                <w:sz w:val="18"/>
                <w:szCs w:val="18"/>
                <w:lang w:eastAsia="en-AU"/>
              </w:rPr>
              <w:t>0</w:t>
            </w:r>
            <w:r w:rsidR="00502C28">
              <w:rPr>
                <w:rFonts w:cs="Times New Roman"/>
                <w:color w:val="000000"/>
                <w:sz w:val="18"/>
                <w:szCs w:val="18"/>
                <w:lang w:eastAsia="en-AU"/>
              </w:rPr>
              <w:t>/10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2C44" w:rsidRPr="00C02ED0" w:rsidRDefault="00322C44" w:rsidP="00322C44">
            <w:pPr>
              <w:spacing w:before="0" w:after="0"/>
              <w:jc w:val="center"/>
              <w:rPr>
                <w:rFonts w:cs="Times New Roman"/>
                <w:color w:val="000000"/>
                <w:sz w:val="18"/>
                <w:szCs w:val="18"/>
                <w:lang w:eastAsia="en-AU"/>
              </w:rPr>
            </w:pPr>
            <w:r>
              <w:rPr>
                <w:rFonts w:cs="Times New Roman"/>
                <w:color w:val="000000"/>
                <w:sz w:val="18"/>
                <w:szCs w:val="18"/>
                <w:lang w:eastAsia="en-AU"/>
              </w:rPr>
              <w:t>0</w:t>
            </w:r>
            <w:r w:rsidR="00502C28">
              <w:rPr>
                <w:rFonts w:cs="Times New Roman"/>
                <w:color w:val="000000"/>
                <w:sz w:val="18"/>
                <w:szCs w:val="18"/>
                <w:lang w:eastAsia="en-AU"/>
              </w:rPr>
              <w:t>/10</w:t>
            </w:r>
          </w:p>
        </w:tc>
      </w:tr>
    </w:tbl>
    <w:p w:rsidR="00A839AC" w:rsidRPr="00081444" w:rsidRDefault="00A839AC" w:rsidP="00A839AC">
      <w:pPr>
        <w:pStyle w:val="Heading4"/>
      </w:pPr>
      <w:r w:rsidRPr="0044799A">
        <w:t xml:space="preserve">Qualitative </w:t>
      </w:r>
      <w:r w:rsidR="00951DE1">
        <w:t>responses</w:t>
      </w:r>
    </w:p>
    <w:p w:rsidR="00CF11CA" w:rsidRPr="008D3757" w:rsidRDefault="00F049E4" w:rsidP="00E22A51">
      <w:pPr>
        <w:spacing w:before="80" w:after="80"/>
        <w:rPr>
          <w:rFonts w:cs="Times New Roman"/>
        </w:rPr>
      </w:pPr>
      <w:r>
        <w:rPr>
          <w:rFonts w:cs="Times New Roman"/>
        </w:rPr>
        <w:t xml:space="preserve">Qualitative responses </w:t>
      </w:r>
      <w:r w:rsidR="0074392A">
        <w:rPr>
          <w:rFonts w:cs="Times New Roman"/>
        </w:rPr>
        <w:t xml:space="preserve">(those that aligned with the consultation protocol and those that did not align with the consultation protocol) </w:t>
      </w:r>
      <w:r>
        <w:rPr>
          <w:rFonts w:cs="Times New Roman"/>
        </w:rPr>
        <w:t xml:space="preserve">from all </w:t>
      </w:r>
      <w:r w:rsidR="0074392A">
        <w:rPr>
          <w:rFonts w:cs="Times New Roman"/>
        </w:rPr>
        <w:t>organisations</w:t>
      </w:r>
      <w:r>
        <w:rPr>
          <w:rFonts w:cs="Times New Roman"/>
        </w:rPr>
        <w:t xml:space="preserve"> and individual stakeholders</w:t>
      </w:r>
      <w:r w:rsidR="0074392A">
        <w:rPr>
          <w:rFonts w:cs="Times New Roman"/>
        </w:rPr>
        <w:t xml:space="preserve"> were</w:t>
      </w:r>
      <w:r w:rsidR="00580326" w:rsidRPr="0044799A">
        <w:rPr>
          <w:rFonts w:cs="Times New Roman"/>
        </w:rPr>
        <w:t xml:space="preserve"> analysed and then </w:t>
      </w:r>
      <w:r w:rsidR="00580326">
        <w:rPr>
          <w:rFonts w:cs="Times New Roman"/>
        </w:rPr>
        <w:t xml:space="preserve">presented below </w:t>
      </w:r>
      <w:r w:rsidR="00580326" w:rsidRPr="008D3757">
        <w:rPr>
          <w:rFonts w:cs="Times New Roman"/>
        </w:rPr>
        <w:t>according to</w:t>
      </w:r>
      <w:r w:rsidR="00580326">
        <w:rPr>
          <w:rFonts w:cs="Times New Roman"/>
        </w:rPr>
        <w:t xml:space="preserve"> </w:t>
      </w:r>
      <w:r w:rsidR="00973A10">
        <w:rPr>
          <w:rFonts w:cs="Times New Roman"/>
        </w:rPr>
        <w:t>themes</w:t>
      </w:r>
      <w:r w:rsidR="001B7DFB">
        <w:rPr>
          <w:rFonts w:cs="Times New Roman"/>
        </w:rPr>
        <w:t xml:space="preserve">. </w:t>
      </w:r>
      <w:r w:rsidR="00CF11CA" w:rsidRPr="008D3757">
        <w:rPr>
          <w:rFonts w:cs="Times New Roman"/>
        </w:rPr>
        <w:t>These themes include:</w:t>
      </w:r>
    </w:p>
    <w:p w:rsidR="00B87DA1" w:rsidRDefault="00B87DA1" w:rsidP="00EC02D0">
      <w:pPr>
        <w:pStyle w:val="Bullet"/>
        <w:spacing w:before="80" w:after="80"/>
      </w:pPr>
      <w:r w:rsidRPr="00B87DA1">
        <w:t>Appeal of ‘tobacco packaging’ versus the appeal of ‘tobacco products’</w:t>
      </w:r>
      <w:r w:rsidR="00560281">
        <w:t>;</w:t>
      </w:r>
    </w:p>
    <w:p w:rsidR="00B87DA1" w:rsidRDefault="00B87DA1" w:rsidP="00EC02D0">
      <w:pPr>
        <w:pStyle w:val="Bullet"/>
        <w:spacing w:before="80" w:after="80"/>
      </w:pPr>
      <w:r w:rsidRPr="00B87DA1">
        <w:t>Consumers becoming less brand conscious</w:t>
      </w:r>
      <w:r w:rsidR="00560281">
        <w:t>; and</w:t>
      </w:r>
    </w:p>
    <w:p w:rsidR="00B87DA1" w:rsidRPr="00B87DA1" w:rsidRDefault="00B87DA1" w:rsidP="00EC02D0">
      <w:pPr>
        <w:pStyle w:val="Bullet"/>
        <w:spacing w:before="80" w:after="80"/>
      </w:pPr>
      <w:r w:rsidRPr="00B87DA1">
        <w:t xml:space="preserve">Reduced appeal </w:t>
      </w:r>
      <w:r w:rsidRPr="00BC2FA4">
        <w:t xml:space="preserve">leading </w:t>
      </w:r>
      <w:r w:rsidR="00BC2FA4" w:rsidRPr="00BC2FA4">
        <w:t>to changes in</w:t>
      </w:r>
      <w:r w:rsidRPr="00BC2FA4">
        <w:t xml:space="preserve"> smoking</w:t>
      </w:r>
      <w:r w:rsidRPr="00B87DA1">
        <w:t xml:space="preserve"> related behaviours</w:t>
      </w:r>
      <w:r>
        <w:t>.</w:t>
      </w:r>
    </w:p>
    <w:p w:rsidR="000A7F2B" w:rsidRPr="00684CBF" w:rsidRDefault="000A7F2B" w:rsidP="00976F59">
      <w:pPr>
        <w:pStyle w:val="Heading5"/>
      </w:pPr>
      <w:bookmarkStart w:id="56" w:name="_Toc418420301"/>
      <w:bookmarkStart w:id="57" w:name="_Toc418770484"/>
      <w:bookmarkStart w:id="58" w:name="_Toc419889562"/>
      <w:bookmarkStart w:id="59" w:name="_Toc422478368"/>
      <w:bookmarkStart w:id="60" w:name="_Toc418420300"/>
      <w:r w:rsidRPr="00684CBF">
        <w:t>Appeal of ‘tobacco packaging’ versus the appeal of ‘tobacco products’</w:t>
      </w:r>
      <w:bookmarkEnd w:id="56"/>
      <w:bookmarkEnd w:id="57"/>
      <w:bookmarkEnd w:id="58"/>
      <w:bookmarkEnd w:id="59"/>
    </w:p>
    <w:p w:rsidR="00A80956" w:rsidRDefault="009D4342" w:rsidP="00E22A51">
      <w:pPr>
        <w:spacing w:before="80" w:after="80"/>
      </w:pPr>
      <w:r>
        <w:rPr>
          <w:szCs w:val="20"/>
        </w:rPr>
        <w:t>P</w:t>
      </w:r>
      <w:r w:rsidR="00687693" w:rsidRPr="0054149B">
        <w:rPr>
          <w:szCs w:val="20"/>
        </w:rPr>
        <w:t>ublic health orga</w:t>
      </w:r>
      <w:r w:rsidR="00216C9A">
        <w:rPr>
          <w:szCs w:val="20"/>
        </w:rPr>
        <w:t>nisation and expert stakeholder/s</w:t>
      </w:r>
      <w:r>
        <w:rPr>
          <w:szCs w:val="20"/>
        </w:rPr>
        <w:t xml:space="preserve">, </w:t>
      </w:r>
      <w:r w:rsidR="00687693" w:rsidRPr="0054149B">
        <w:rPr>
          <w:szCs w:val="20"/>
        </w:rPr>
        <w:t xml:space="preserve">government </w:t>
      </w:r>
      <w:r w:rsidR="00216C9A">
        <w:rPr>
          <w:szCs w:val="20"/>
        </w:rPr>
        <w:t>department stakeholder/s</w:t>
      </w:r>
      <w:r w:rsidR="00651631" w:rsidRPr="0054149B">
        <w:rPr>
          <w:szCs w:val="20"/>
        </w:rPr>
        <w:t xml:space="preserve"> </w:t>
      </w:r>
      <w:r w:rsidR="00216C9A">
        <w:rPr>
          <w:szCs w:val="20"/>
        </w:rPr>
        <w:t>and health related NGO stakeholder/s</w:t>
      </w:r>
      <w:r w:rsidR="00E813B8">
        <w:rPr>
          <w:szCs w:val="20"/>
        </w:rPr>
        <w:t xml:space="preserve"> </w:t>
      </w:r>
      <w:r w:rsidR="00572F42" w:rsidRPr="00572F42">
        <w:rPr>
          <w:szCs w:val="20"/>
        </w:rPr>
        <w:t>who gave positive ratings</w:t>
      </w:r>
      <w:r w:rsidR="00051596">
        <w:rPr>
          <w:rStyle w:val="CommentReference"/>
          <w:rFonts w:cs="Times New Roman"/>
          <w:lang w:val="x-none" w:eastAsia="x-none"/>
        </w:rPr>
        <w:t xml:space="preserve"> </w:t>
      </w:r>
      <w:r w:rsidR="000A7F2B" w:rsidRPr="0054149B">
        <w:t>cite</w:t>
      </w:r>
      <w:r w:rsidR="00AE6E47" w:rsidRPr="0054149B">
        <w:t>d</w:t>
      </w:r>
      <w:r w:rsidR="000A7F2B" w:rsidRPr="0054149B">
        <w:t xml:space="preserve"> </w:t>
      </w:r>
      <w:r w:rsidR="00687693" w:rsidRPr="0054149B">
        <w:t xml:space="preserve">peer reviewed </w:t>
      </w:r>
      <w:r w:rsidR="000A7F2B" w:rsidRPr="0054149B">
        <w:t>sources</w:t>
      </w:r>
      <w:r w:rsidR="00934027">
        <w:t>, unpublished data and anecdotal evidence</w:t>
      </w:r>
      <w:r w:rsidR="000A7F2B">
        <w:t xml:space="preserve">, </w:t>
      </w:r>
      <w:r w:rsidR="00687693">
        <w:t>which suggest</w:t>
      </w:r>
      <w:r w:rsidR="000A7F2B" w:rsidRPr="004244FC">
        <w:t xml:space="preserve"> that </w:t>
      </w:r>
      <w:r w:rsidR="000A7F2B">
        <w:t xml:space="preserve">the introduction of </w:t>
      </w:r>
      <w:r w:rsidR="00416DF1">
        <w:t xml:space="preserve">tobacco plain packaging </w:t>
      </w:r>
      <w:r w:rsidR="000A7F2B" w:rsidRPr="004244FC">
        <w:t>has had an impact on the appeal of both ‘tobacco packaging’</w:t>
      </w:r>
      <w:r w:rsidR="0094347E">
        <w:t xml:space="preserve"> and </w:t>
      </w:r>
      <w:r w:rsidR="0094347E" w:rsidRPr="004244FC">
        <w:t>‘tobacco product</w:t>
      </w:r>
      <w:r w:rsidR="0094347E">
        <w:t>s</w:t>
      </w:r>
      <w:r w:rsidR="0094347E" w:rsidRPr="004244FC">
        <w:t>’</w:t>
      </w:r>
      <w:r w:rsidR="0094347E">
        <w:t xml:space="preserve"> such that</w:t>
      </w:r>
      <w:r w:rsidR="00BC12CB">
        <w:t>:</w:t>
      </w:r>
    </w:p>
    <w:p w:rsidR="00A80956" w:rsidRDefault="00560281" w:rsidP="00EC02D0">
      <w:pPr>
        <w:pStyle w:val="Bullet"/>
        <w:spacing w:before="80" w:after="80"/>
      </w:pPr>
      <w:r>
        <w:t>P</w:t>
      </w:r>
      <w:r w:rsidR="000A7F2B" w:rsidRPr="004244FC">
        <w:t>acks are seen as less attractive and fashionable</w:t>
      </w:r>
      <w:r w:rsidR="00951DE1">
        <w:t>;</w:t>
      </w:r>
    </w:p>
    <w:p w:rsidR="00A80956" w:rsidRDefault="00560281" w:rsidP="00EC02D0">
      <w:pPr>
        <w:pStyle w:val="Bullet"/>
        <w:spacing w:before="80" w:after="80"/>
      </w:pPr>
      <w:r>
        <w:t>E</w:t>
      </w:r>
      <w:r w:rsidR="000A7F2B">
        <w:t>xisting smokers are less satisfied w</w:t>
      </w:r>
      <w:r w:rsidR="007A6B56">
        <w:t>ith the look of their products</w:t>
      </w:r>
      <w:r>
        <w:t>;</w:t>
      </w:r>
    </w:p>
    <w:p w:rsidR="00A80956" w:rsidRDefault="00560281" w:rsidP="00EC02D0">
      <w:pPr>
        <w:pStyle w:val="Bullet"/>
        <w:spacing w:before="80" w:after="80"/>
      </w:pPr>
      <w:r>
        <w:t>S</w:t>
      </w:r>
      <w:r w:rsidR="000A7F2B">
        <w:t>mokers appear to be covering their packets or transferring cigarettes to a different case</w:t>
      </w:r>
      <w:r>
        <w:t>; and</w:t>
      </w:r>
    </w:p>
    <w:p w:rsidR="000A7F2B" w:rsidRDefault="00560281" w:rsidP="00EC02D0">
      <w:pPr>
        <w:pStyle w:val="Bullet"/>
        <w:spacing w:before="80" w:after="80"/>
      </w:pPr>
      <w:r>
        <w:t>S</w:t>
      </w:r>
      <w:r w:rsidR="0094347E">
        <w:t>mokers perceive</w:t>
      </w:r>
      <w:r w:rsidR="00382C10">
        <w:t xml:space="preserve"> </w:t>
      </w:r>
      <w:r w:rsidR="0094347E">
        <w:t xml:space="preserve">lower </w:t>
      </w:r>
      <w:r w:rsidR="000A7F2B" w:rsidRPr="004244FC">
        <w:t>cigarette quality including taste</w:t>
      </w:r>
      <w:r w:rsidR="00D61D8D">
        <w:t>,</w:t>
      </w:r>
      <w:r w:rsidR="0094347E">
        <w:t xml:space="preserve"> and experience </w:t>
      </w:r>
      <w:r w:rsidR="000A7F2B" w:rsidRPr="004244FC">
        <w:rPr>
          <w:lang w:eastAsia="en-AU"/>
        </w:rPr>
        <w:t>lower satisfaction</w:t>
      </w:r>
      <w:r w:rsidR="000A7F2B">
        <w:rPr>
          <w:lang w:eastAsia="en-AU"/>
        </w:rPr>
        <w:t>/enjoyment</w:t>
      </w:r>
      <w:r w:rsidR="000A7F2B" w:rsidRPr="004244FC">
        <w:rPr>
          <w:lang w:eastAsia="en-AU"/>
        </w:rPr>
        <w:t xml:space="preserve"> </w:t>
      </w:r>
      <w:r w:rsidR="000A7F2B">
        <w:rPr>
          <w:lang w:eastAsia="en-AU"/>
        </w:rPr>
        <w:t>using tobacco products</w:t>
      </w:r>
      <w:r w:rsidR="000A7F2B">
        <w:t>.</w:t>
      </w:r>
    </w:p>
    <w:p w:rsidR="00212A9A" w:rsidRDefault="00190A4B" w:rsidP="00190A4B">
      <w:pPr>
        <w:spacing w:before="80" w:after="80"/>
      </w:pPr>
      <w:r>
        <w:t>Stakeholders from these groups</w:t>
      </w:r>
      <w:r w:rsidRPr="00C34D02">
        <w:t xml:space="preserve"> </w:t>
      </w:r>
      <w:r>
        <w:t>supported their vie</w:t>
      </w:r>
      <w:r w:rsidR="00951DE1">
        <w:t>ws with the following sources:</w:t>
      </w:r>
    </w:p>
    <w:p w:rsidR="00190A4B" w:rsidRDefault="00190A4B" w:rsidP="00EC02D0">
      <w:pPr>
        <w:pStyle w:val="Bullet"/>
      </w:pPr>
      <w:r>
        <w:t xml:space="preserve">Wakefield et al, 2015, a peer reviewed article, which was cited as </w:t>
      </w:r>
      <w:r w:rsidR="00212A9A">
        <w:t>s</w:t>
      </w:r>
      <w:r w:rsidR="00BA4C02">
        <w:t>howing</w:t>
      </w:r>
      <w:r>
        <w:t xml:space="preserve"> that </w:t>
      </w:r>
      <w:r w:rsidRPr="007A6B56">
        <w:t>more smokers disliked their packs, thought the packs had lower appeal, lower cigarette quality, lower satisfaction and lower value</w:t>
      </w:r>
      <w:r w:rsidR="00560281">
        <w:t>;</w:t>
      </w:r>
    </w:p>
    <w:p w:rsidR="00190A4B" w:rsidRDefault="00190A4B" w:rsidP="00EC02D0">
      <w:pPr>
        <w:pStyle w:val="Bullet"/>
        <w:spacing w:before="80" w:after="80"/>
      </w:pPr>
      <w:r>
        <w:lastRenderedPageBreak/>
        <w:t>White et al, 2015</w:t>
      </w:r>
      <w:r w:rsidR="005403D1">
        <w:t>b</w:t>
      </w:r>
      <w:r>
        <w:t xml:space="preserve">, a peer reviewed article, which was cited as </w:t>
      </w:r>
      <w:r w:rsidR="00BA4C02">
        <w:t>showing</w:t>
      </w:r>
      <w:r>
        <w:t xml:space="preserve"> that </w:t>
      </w:r>
      <w:r w:rsidRPr="007A6B56">
        <w:t>fewer adolescents agreed that some brands have better looking packs than others and packs were rated less positively and more negatively</w:t>
      </w:r>
      <w:r w:rsidR="00560281">
        <w:t>;</w:t>
      </w:r>
    </w:p>
    <w:p w:rsidR="00045EBD" w:rsidRDefault="00190A4B" w:rsidP="00EC02D0">
      <w:pPr>
        <w:pStyle w:val="Bullet"/>
        <w:spacing w:before="80" w:after="80"/>
      </w:pPr>
      <w:r>
        <w:t xml:space="preserve">Miller et al, 2015, a peer reviewed article, which was cited as </w:t>
      </w:r>
      <w:r w:rsidR="00BA4C02">
        <w:t>showing</w:t>
      </w:r>
      <w:r>
        <w:t xml:space="preserve"> that f</w:t>
      </w:r>
      <w:r w:rsidRPr="007A6B56">
        <w:t>or cigar and cigarillo smokers the appeal of packaging decreased among those who were occasional smokers of premium cigars and cigarillos. Non-premium cigarillo smokers also reported reduced appeal, quality, taste, enjoyme</w:t>
      </w:r>
      <w:r>
        <w:t>nt and value of their products</w:t>
      </w:r>
      <w:r w:rsidR="00560281">
        <w:t>;</w:t>
      </w:r>
    </w:p>
    <w:p w:rsidR="00190A4B" w:rsidRDefault="00190A4B" w:rsidP="00EC02D0">
      <w:pPr>
        <w:pStyle w:val="Bullet"/>
        <w:spacing w:before="80" w:after="80"/>
      </w:pPr>
      <w:r>
        <w:t xml:space="preserve">Dunlop et al, 2014, a peer reviewed article, which was cited as </w:t>
      </w:r>
      <w:r w:rsidR="00BA4C02">
        <w:t>showing</w:t>
      </w:r>
      <w:r>
        <w:t xml:space="preserve"> that s</w:t>
      </w:r>
      <w:r w:rsidRPr="007A6B56">
        <w:t xml:space="preserve">mokers reported a significant increase in strong negative perceptions about their packs, including significant increases in strong disagreement that the packs are attractive, fashionable, and </w:t>
      </w:r>
      <w:r>
        <w:t xml:space="preserve">influence their choice of </w:t>
      </w:r>
      <w:r w:rsidRPr="00F94FA0">
        <w:t>brand</w:t>
      </w:r>
      <w:r w:rsidR="00560281">
        <w:t>;</w:t>
      </w:r>
    </w:p>
    <w:p w:rsidR="00045EBD" w:rsidRDefault="00190A4B" w:rsidP="00EC02D0">
      <w:pPr>
        <w:pStyle w:val="Bullet"/>
        <w:spacing w:before="80" w:after="80"/>
      </w:pPr>
      <w:r w:rsidRPr="007A6B56">
        <w:t>Lin</w:t>
      </w:r>
      <w:r>
        <w:t xml:space="preserve"> et al, 2014, a </w:t>
      </w:r>
      <w:r w:rsidR="00573673">
        <w:t xml:space="preserve">research </w:t>
      </w:r>
      <w:r>
        <w:t>report</w:t>
      </w:r>
      <w:r w:rsidR="00573673">
        <w:t xml:space="preserve"> to the Cancer Council WA</w:t>
      </w:r>
      <w:r>
        <w:t xml:space="preserve">, which was cited as </w:t>
      </w:r>
      <w:r w:rsidR="00BA4C02">
        <w:t>showing</w:t>
      </w:r>
      <w:r>
        <w:t xml:space="preserve"> that smokers felt the taste of cigarettes had changed since the introduction of plain packaging</w:t>
      </w:r>
      <w:r w:rsidR="00560281">
        <w:t>; and</w:t>
      </w:r>
    </w:p>
    <w:p w:rsidR="00190A4B" w:rsidRDefault="00190A4B" w:rsidP="00EC02D0">
      <w:pPr>
        <w:pStyle w:val="Bullet"/>
        <w:spacing w:before="80" w:after="80"/>
      </w:pPr>
      <w:r>
        <w:t xml:space="preserve">Wakefield et al, 2013, a peer reviewed article, which was cited as </w:t>
      </w:r>
      <w:r w:rsidR="00BA4C02">
        <w:t>showing</w:t>
      </w:r>
      <w:r w:rsidR="00045EBD">
        <w:t xml:space="preserve"> </w:t>
      </w:r>
      <w:r>
        <w:t xml:space="preserve">that </w:t>
      </w:r>
      <w:r w:rsidRPr="00BA4EEB">
        <w:t xml:space="preserve">smokers using fully branded packs, </w:t>
      </w:r>
      <w:r>
        <w:t xml:space="preserve">compared to </w:t>
      </w:r>
      <w:r w:rsidRPr="00BA4EEB">
        <w:t>plain pack smokers perceived their cigarettes to be of lower quality and less appealing, and reported being more likely to thin</w:t>
      </w:r>
      <w:r>
        <w:t>k about and prioritise quitting</w:t>
      </w:r>
      <w:r w:rsidR="00560281">
        <w:t>.</w:t>
      </w:r>
    </w:p>
    <w:p w:rsidR="002A5891" w:rsidRDefault="002A5891" w:rsidP="00EC02D0">
      <w:pPr>
        <w:pStyle w:val="Bullet"/>
        <w:numPr>
          <w:ilvl w:val="0"/>
          <w:numId w:val="0"/>
        </w:numPr>
        <w:spacing w:before="80" w:after="80"/>
      </w:pPr>
      <w:r w:rsidRPr="00DD34A3">
        <w:t xml:space="preserve">One public health expert said that </w:t>
      </w:r>
      <w:r>
        <w:t xml:space="preserve">the impact of </w:t>
      </w:r>
      <w:r w:rsidRPr="00DD34A3">
        <w:t xml:space="preserve">tobacco </w:t>
      </w:r>
      <w:r>
        <w:t xml:space="preserve">plain </w:t>
      </w:r>
      <w:r w:rsidRPr="00DD34A3">
        <w:t>packaging</w:t>
      </w:r>
      <w:r>
        <w:t xml:space="preserve"> on the appeal of tobacco products would vary depending on whether people are </w:t>
      </w:r>
      <w:r w:rsidRPr="00DD34A3">
        <w:t>highly nicotine dependent</w:t>
      </w:r>
      <w:r>
        <w:t xml:space="preserve"> or not. Those who are highly nicotine dependent </w:t>
      </w:r>
      <w:r w:rsidRPr="00DD34A3">
        <w:t xml:space="preserve">are likely to have larger issues in their life which drive their smoking behaviour (e.g. mental health issues, lack of self-efficacy, frustration, boredom) rather than tobacco packaging. In contrast, </w:t>
      </w:r>
      <w:r>
        <w:t>another clinically orientated public health</w:t>
      </w:r>
      <w:r w:rsidRPr="00DD34A3">
        <w:t xml:space="preserve"> expert noted that</w:t>
      </w:r>
      <w:r>
        <w:t xml:space="preserve"> some of their </w:t>
      </w:r>
      <w:r w:rsidR="00961073">
        <w:t xml:space="preserve">patients </w:t>
      </w:r>
      <w:r w:rsidRPr="00DD34A3">
        <w:t xml:space="preserve">reported a significantly reduced affinity for their ‘packet of cigarettes’ or report fewer cravings from seeing or handling plain packaged cigarettes rather than on previous quit attempts with branded packages. </w:t>
      </w:r>
      <w:r>
        <w:t xml:space="preserve">Both of these public health experts noted that these highly nicotine dependent people </w:t>
      </w:r>
      <w:r w:rsidRPr="00DD34A3">
        <w:t>were also using pharmacotherapy to aid their cessation.</w:t>
      </w:r>
      <w:r w:rsidR="00BC7719" w:rsidRPr="00BC7719">
        <w:t xml:space="preserve"> </w:t>
      </w:r>
      <w:r w:rsidR="00BC7719">
        <w:t xml:space="preserve">Both stakeholders </w:t>
      </w:r>
      <w:r w:rsidR="00BC7719" w:rsidRPr="00BC7719">
        <w:t>did not cite any sources to support their view.</w:t>
      </w:r>
    </w:p>
    <w:p w:rsidR="00961073" w:rsidRPr="00492BCF" w:rsidRDefault="00961073" w:rsidP="00E22A51">
      <w:pPr>
        <w:pStyle w:val="BulletPoints"/>
        <w:numPr>
          <w:ilvl w:val="0"/>
          <w:numId w:val="0"/>
        </w:numPr>
        <w:spacing w:before="80" w:after="80"/>
      </w:pPr>
      <w:r>
        <w:t>The retailers who provided a positive rating reported that they believe tobacco plain packaging reduces the appeal of tobacco products to ‘new consumers’. Some based their positive rating on their experience in the retail industry, declining sales since 2012 (w</w:t>
      </w:r>
      <w:r w:rsidR="00FD3D96">
        <w:t xml:space="preserve">hen the measure was introduced), </w:t>
      </w:r>
      <w:r>
        <w:t xml:space="preserve">less young customers purchasing cigarettes and customer feedback. </w:t>
      </w:r>
      <w:r w:rsidRPr="0042657C">
        <w:t xml:space="preserve">The consumers who provided a positive rating reported that they have seen </w:t>
      </w:r>
      <w:r w:rsidRPr="00492BCF">
        <w:t xml:space="preserve">smokers covering or hiding their cigarette packets, as smokers themselves are turned off by tobacco packaging (including </w:t>
      </w:r>
      <w:r w:rsidR="00BC7719">
        <w:t>GHWs</w:t>
      </w:r>
      <w:r w:rsidRPr="00492BCF">
        <w:t>) and based on the</w:t>
      </w:r>
      <w:r>
        <w:t>ir belief that</w:t>
      </w:r>
      <w:r w:rsidRPr="00492BCF">
        <w:t xml:space="preserve"> tobacco packaging </w:t>
      </w:r>
      <w:r>
        <w:t xml:space="preserve">is </w:t>
      </w:r>
      <w:r w:rsidRPr="00492BCF">
        <w:t>less attractive.</w:t>
      </w:r>
      <w:r w:rsidR="007B04AC">
        <w:t xml:space="preserve"> These consumers</w:t>
      </w:r>
      <w:r w:rsidR="00BC7719" w:rsidRPr="00BC7719">
        <w:t xml:space="preserve"> did not cite any sources to support their view.</w:t>
      </w:r>
    </w:p>
    <w:p w:rsidR="0084284E" w:rsidRPr="00DD6536" w:rsidRDefault="00012CB3" w:rsidP="0084284E">
      <w:pPr>
        <w:spacing w:before="80" w:after="80"/>
      </w:pPr>
      <w:r w:rsidRPr="00492BCF">
        <w:t>T</w:t>
      </w:r>
      <w:r w:rsidR="00216C9A">
        <w:t xml:space="preserve">obacco company </w:t>
      </w:r>
      <w:r w:rsidR="00216C9A">
        <w:rPr>
          <w:szCs w:val="20"/>
        </w:rPr>
        <w:t>stakeholder/s</w:t>
      </w:r>
      <w:r w:rsidRPr="00492BCF">
        <w:t xml:space="preserve">, </w:t>
      </w:r>
      <w:r w:rsidR="007107D3" w:rsidRPr="00492BCF">
        <w:t>t</w:t>
      </w:r>
      <w:r w:rsidR="00896C09" w:rsidRPr="00492BCF">
        <w:t>obacco wholesalers and importer</w:t>
      </w:r>
      <w:r w:rsidRPr="00492BCF">
        <w:t>s</w:t>
      </w:r>
      <w:r w:rsidR="007107D3" w:rsidRPr="00492BCF">
        <w:t>, tobacco packaging manufacturers, retailers</w:t>
      </w:r>
      <w:r w:rsidR="00216C9A">
        <w:t xml:space="preserve">, non-health related NGO </w:t>
      </w:r>
      <w:r w:rsidR="00216C9A">
        <w:rPr>
          <w:szCs w:val="20"/>
        </w:rPr>
        <w:t>stakeholder/s</w:t>
      </w:r>
      <w:r w:rsidR="00492BCF" w:rsidRPr="00492BCF">
        <w:t xml:space="preserve">, </w:t>
      </w:r>
      <w:r w:rsidR="008E1F87" w:rsidRPr="00492BCF">
        <w:t>consumers</w:t>
      </w:r>
      <w:r w:rsidR="00492BCF" w:rsidRPr="00492BCF">
        <w:t xml:space="preserve"> and stakeholders from the ‘other and unspecified’ category</w:t>
      </w:r>
      <w:r w:rsidR="007107D3" w:rsidRPr="00492BCF">
        <w:t xml:space="preserve"> who </w:t>
      </w:r>
      <w:r w:rsidRPr="00492BCF">
        <w:t>provided a negative</w:t>
      </w:r>
      <w:r w:rsidR="00AE672D" w:rsidRPr="00492BCF">
        <w:t xml:space="preserve"> or unsure</w:t>
      </w:r>
      <w:r w:rsidRPr="00492BCF">
        <w:t xml:space="preserve"> rating reported </w:t>
      </w:r>
      <w:r w:rsidR="007107D3" w:rsidRPr="00492BCF">
        <w:rPr>
          <w:szCs w:val="20"/>
        </w:rPr>
        <w:t>that they believe tobacco plain packaging has had very little or no impact on reducing the appeal of tobacco products to consumers.</w:t>
      </w:r>
      <w:r w:rsidR="00D03E68" w:rsidRPr="00492BCF">
        <w:rPr>
          <w:szCs w:val="20"/>
        </w:rPr>
        <w:t xml:space="preserve"> </w:t>
      </w:r>
      <w:r w:rsidR="00896C09" w:rsidRPr="00492BCF">
        <w:t xml:space="preserve">Despite these </w:t>
      </w:r>
      <w:r w:rsidR="00D03E68" w:rsidRPr="00492BCF">
        <w:t xml:space="preserve">negative </w:t>
      </w:r>
      <w:r w:rsidR="00896C09" w:rsidRPr="00492BCF">
        <w:t>ratings, m</w:t>
      </w:r>
      <w:r w:rsidR="002F02BB" w:rsidRPr="00492BCF">
        <w:t>any</w:t>
      </w:r>
      <w:r w:rsidR="000A7F2B" w:rsidRPr="00492BCF">
        <w:t xml:space="preserve"> tobacco companies, </w:t>
      </w:r>
      <w:r w:rsidR="00F3485E" w:rsidRPr="00492BCF">
        <w:t xml:space="preserve">tobacco wholesalers and importers, </w:t>
      </w:r>
      <w:r w:rsidR="000A7F2B" w:rsidRPr="00492BCF">
        <w:t xml:space="preserve">tobacco packaging manufacturers, retailers and </w:t>
      </w:r>
      <w:r w:rsidR="008E1F87" w:rsidRPr="00492BCF">
        <w:t>consumers</w:t>
      </w:r>
      <w:r w:rsidR="002F02BB" w:rsidRPr="00492BCF">
        <w:t xml:space="preserve"> </w:t>
      </w:r>
      <w:r w:rsidR="00034BB1" w:rsidRPr="00492BCF">
        <w:t xml:space="preserve">who submitted a response indicated through qualitative </w:t>
      </w:r>
      <w:r w:rsidR="00921A3B" w:rsidRPr="00492BCF">
        <w:t>responses</w:t>
      </w:r>
      <w:r w:rsidR="00415AF8" w:rsidRPr="00492BCF">
        <w:t xml:space="preserve"> that they</w:t>
      </w:r>
      <w:r w:rsidR="00921A3B" w:rsidRPr="00492BCF">
        <w:t xml:space="preserve"> </w:t>
      </w:r>
      <w:r w:rsidR="00166FE2" w:rsidRPr="00492BCF">
        <w:t>believe</w:t>
      </w:r>
      <w:r w:rsidR="002D2ED5" w:rsidRPr="00492BCF">
        <w:t xml:space="preserve"> ‘</w:t>
      </w:r>
      <w:r w:rsidR="000A7F2B" w:rsidRPr="00492BCF">
        <w:t>tobacco packaging</w:t>
      </w:r>
      <w:r w:rsidR="002D2ED5" w:rsidRPr="00492BCF">
        <w:t>’</w:t>
      </w:r>
      <w:r w:rsidR="000A7F2B" w:rsidRPr="00492BCF">
        <w:t xml:space="preserve"> is not as appealing as it once was. </w:t>
      </w:r>
      <w:r w:rsidR="00CD08A4" w:rsidRPr="00492BCF">
        <w:t xml:space="preserve">Some members of the tobacco </w:t>
      </w:r>
      <w:r w:rsidR="000A7F2B" w:rsidRPr="00492BCF">
        <w:t>industry, retailers and</w:t>
      </w:r>
      <w:r w:rsidR="00382C10" w:rsidRPr="00492BCF">
        <w:t xml:space="preserve"> </w:t>
      </w:r>
      <w:r w:rsidR="008E1F87" w:rsidRPr="00492BCF">
        <w:t>consumers</w:t>
      </w:r>
      <w:r w:rsidR="00382C10" w:rsidRPr="00492BCF">
        <w:t xml:space="preserve"> who participated in the consultation</w:t>
      </w:r>
      <w:r w:rsidR="000A7F2B" w:rsidRPr="00492BCF">
        <w:t xml:space="preserve"> believe that ‘</w:t>
      </w:r>
      <w:r w:rsidR="00BE3E0F" w:rsidRPr="00492BCF">
        <w:t>tobacco</w:t>
      </w:r>
      <w:r w:rsidR="00CD08A4" w:rsidRPr="00492BCF">
        <w:t xml:space="preserve"> </w:t>
      </w:r>
      <w:r w:rsidR="000A7F2B" w:rsidRPr="00492BCF">
        <w:t xml:space="preserve">packaging’ plays no role in the appeal of tobacco </w:t>
      </w:r>
      <w:proofErr w:type="gramStart"/>
      <w:r w:rsidR="000A7F2B" w:rsidRPr="00492BCF">
        <w:t>products,</w:t>
      </w:r>
      <w:proofErr w:type="gramEnd"/>
      <w:r w:rsidR="000A7F2B" w:rsidRPr="00492BCF">
        <w:t xml:space="preserve"> rather</w:t>
      </w:r>
      <w:r w:rsidR="00382C10" w:rsidRPr="00492BCF">
        <w:t xml:space="preserve"> they reported that</w:t>
      </w:r>
      <w:r w:rsidR="000A7F2B" w:rsidRPr="00492BCF">
        <w:t xml:space="preserve">, it is the </w:t>
      </w:r>
      <w:r w:rsidR="000A7F2B" w:rsidRPr="00492BCF">
        <w:lastRenderedPageBreak/>
        <w:t xml:space="preserve">‘tobacco product’ inside the packet which attracts </w:t>
      </w:r>
      <w:r w:rsidR="0068707C">
        <w:t>consumers</w:t>
      </w:r>
      <w:r w:rsidR="000A7F2B" w:rsidRPr="00492BCF">
        <w:t>.</w:t>
      </w:r>
      <w:r w:rsidR="007B04AC">
        <w:t xml:space="preserve"> </w:t>
      </w:r>
      <w:r w:rsidR="0084284E">
        <w:t>These stakeholders supported their vie</w:t>
      </w:r>
      <w:r w:rsidR="00951DE1">
        <w:t>ws with the following sources:</w:t>
      </w:r>
    </w:p>
    <w:p w:rsidR="00100C48" w:rsidRPr="00492BCF" w:rsidRDefault="00100C48" w:rsidP="00EC02D0">
      <w:pPr>
        <w:pStyle w:val="Bullet"/>
      </w:pPr>
      <w:r>
        <w:t>A 2015 report by SLG economics which included analysis of t</w:t>
      </w:r>
      <w:r w:rsidRPr="00A640A1">
        <w:t xml:space="preserve">he </w:t>
      </w:r>
      <w:r>
        <w:t xml:space="preserve">National Tobacco Plain Packaging Tracking Survey </w:t>
      </w:r>
      <w:r w:rsidR="00B95929">
        <w:t xml:space="preserve">(NTPPTS) </w:t>
      </w:r>
      <w:r>
        <w:t xml:space="preserve">data which was cited as showing that </w:t>
      </w:r>
      <w:r w:rsidR="00B95929">
        <w:t>after considering a number of different measures (from the NTPPTS)</w:t>
      </w:r>
      <w:r w:rsidR="00C95BDD">
        <w:t xml:space="preserve"> they concluded that plain packaging was not successful in r</w:t>
      </w:r>
      <w:r w:rsidR="00951DE1">
        <w:t>educing the appeal of tobacco.</w:t>
      </w:r>
    </w:p>
    <w:p w:rsidR="00CF7118" w:rsidRDefault="00521468" w:rsidP="00D81A5E">
      <w:pPr>
        <w:spacing w:before="80" w:after="80"/>
      </w:pPr>
      <w:r w:rsidRPr="00492BCF">
        <w:t>Consumers, and stakeholders from the ‘other and</w:t>
      </w:r>
      <w:r>
        <w:t xml:space="preserve"> unspecified’ category who provided a negative rating reported that tobacco plain packaging had not reduced the appeal of tobacco products as they and others </w:t>
      </w:r>
      <w:r w:rsidR="00492BCF">
        <w:t>continue</w:t>
      </w:r>
      <w:r>
        <w:t xml:space="preserve"> to smoke</w:t>
      </w:r>
      <w:r w:rsidR="00492BCF">
        <w:t xml:space="preserve">. </w:t>
      </w:r>
      <w:r>
        <w:t xml:space="preserve"> </w:t>
      </w:r>
      <w:r w:rsidR="007B04AC" w:rsidRPr="007B04AC">
        <w:t>They did not cite any</w:t>
      </w:r>
      <w:r w:rsidR="00951DE1">
        <w:t xml:space="preserve"> sources to support their view.</w:t>
      </w:r>
    </w:p>
    <w:p w:rsidR="00CF7118" w:rsidRDefault="00CF7118" w:rsidP="00E22A51">
      <w:pPr>
        <w:spacing w:before="80" w:after="80"/>
      </w:pPr>
      <w:r>
        <w:t>One government department stakeholde</w:t>
      </w:r>
      <w:r w:rsidR="0068707C">
        <w:t>r</w:t>
      </w:r>
      <w:r>
        <w:t xml:space="preserve"> </w:t>
      </w:r>
      <w:r w:rsidRPr="00E62376">
        <w:t>indicated that they were ‘unsure’ whether the measure ha</w:t>
      </w:r>
      <w:r>
        <w:t>s</w:t>
      </w:r>
      <w:r w:rsidRPr="00E62376">
        <w:t xml:space="preserve"> had an impact on reducing the appeal of tobacco products to consumers as they were not familiar with </w:t>
      </w:r>
      <w:r>
        <w:t xml:space="preserve">the </w:t>
      </w:r>
      <w:r w:rsidR="00951DE1">
        <w:t>existing evidence.</w:t>
      </w:r>
    </w:p>
    <w:p w:rsidR="00CF7118" w:rsidRDefault="00CF7118" w:rsidP="00EC02D0">
      <w:pPr>
        <w:pStyle w:val="Bullet"/>
        <w:numPr>
          <w:ilvl w:val="0"/>
          <w:numId w:val="0"/>
        </w:numPr>
        <w:spacing w:before="80" w:after="80"/>
      </w:pPr>
      <w:r>
        <w:t xml:space="preserve">The qualitative views of retailers who provided an </w:t>
      </w:r>
      <w:r w:rsidR="006C7930">
        <w:t>‘</w:t>
      </w:r>
      <w:r>
        <w:t>unsure</w:t>
      </w:r>
      <w:r w:rsidR="006C7930">
        <w:t>’</w:t>
      </w:r>
      <w:r>
        <w:t xml:space="preserve"> response were either not relevant to the question (and therefore are addressed elsewhere in this report) or they did not provide further explanation of their rating.</w:t>
      </w:r>
    </w:p>
    <w:p w:rsidR="00E62376" w:rsidRDefault="00CF7118" w:rsidP="00E22A51">
      <w:pPr>
        <w:spacing w:before="80" w:after="80"/>
      </w:pPr>
      <w:r>
        <w:t xml:space="preserve">The </w:t>
      </w:r>
      <w:r w:rsidRPr="00E62376">
        <w:t>small number of consumers who</w:t>
      </w:r>
      <w:r>
        <w:t xml:space="preserve"> provided an </w:t>
      </w:r>
      <w:r w:rsidR="006C7930">
        <w:t>‘</w:t>
      </w:r>
      <w:r>
        <w:t>unsure</w:t>
      </w:r>
      <w:r w:rsidR="006C7930">
        <w:t>’</w:t>
      </w:r>
      <w:r>
        <w:t xml:space="preserve"> rating offered the following responses: </w:t>
      </w:r>
      <w:r w:rsidRPr="00E62376">
        <w:t>they do</w:t>
      </w:r>
      <w:r>
        <w:t xml:space="preserve"> not</w:t>
      </w:r>
      <w:r w:rsidRPr="00E62376">
        <w:t xml:space="preserve"> mix with smokers</w:t>
      </w:r>
      <w:r>
        <w:t xml:space="preserve"> and therefore are unable to comment</w:t>
      </w:r>
      <w:r w:rsidRPr="00E62376">
        <w:t>;</w:t>
      </w:r>
      <w:r>
        <w:t xml:space="preserve"> they still smoke; tobacco plain packaging may make a difference to young people but not existing smokers; the measure and </w:t>
      </w:r>
      <w:r w:rsidR="00BE2397">
        <w:t>GHWs</w:t>
      </w:r>
      <w:r>
        <w:t xml:space="preserve"> may deter young people but were not sure what young people think; </w:t>
      </w:r>
      <w:r w:rsidRPr="00E62376">
        <w:t>there was no way of telling w</w:t>
      </w:r>
      <w:r>
        <w:t xml:space="preserve">hether appeal had been reduced; they </w:t>
      </w:r>
      <w:r w:rsidRPr="00E62376">
        <w:t xml:space="preserve">did not provide a </w:t>
      </w:r>
      <w:r>
        <w:t xml:space="preserve">qualitative </w:t>
      </w:r>
      <w:r w:rsidRPr="00E62376">
        <w:t>response</w:t>
      </w:r>
      <w:r>
        <w:t>;</w:t>
      </w:r>
      <w:r w:rsidRPr="00E62376">
        <w:t xml:space="preserve"> or </w:t>
      </w:r>
      <w:r>
        <w:t>provided a response which did not relate to the objective or that was not relevant to any questions asked as part of the consultation process.</w:t>
      </w:r>
      <w:r w:rsidRPr="00E62376">
        <w:t xml:space="preserve"> </w:t>
      </w:r>
      <w:r w:rsidR="006C7930">
        <w:t>These consumers</w:t>
      </w:r>
      <w:r w:rsidR="006C7930" w:rsidRPr="006C7930">
        <w:t xml:space="preserve"> did not cite any sources to support their view.</w:t>
      </w:r>
    </w:p>
    <w:p w:rsidR="000A7F2B" w:rsidRPr="00684CBF" w:rsidRDefault="001212B5" w:rsidP="00976F59">
      <w:pPr>
        <w:pStyle w:val="Heading5"/>
      </w:pPr>
      <w:bookmarkStart w:id="61" w:name="_Toc419889564"/>
      <w:bookmarkStart w:id="62" w:name="_Toc422478369"/>
      <w:r w:rsidRPr="00684CBF">
        <w:t>Consumers becoming less brand conscious</w:t>
      </w:r>
      <w:bookmarkEnd w:id="61"/>
      <w:bookmarkEnd w:id="62"/>
    </w:p>
    <w:bookmarkEnd w:id="60"/>
    <w:p w:rsidR="00CF7118" w:rsidRDefault="00CF7118" w:rsidP="00E22A51">
      <w:pPr>
        <w:spacing w:before="80" w:after="80"/>
      </w:pPr>
      <w:r>
        <w:t xml:space="preserve">In response to consultations, public </w:t>
      </w:r>
      <w:r w:rsidR="00216C9A">
        <w:t xml:space="preserve">health organisation and expert </w:t>
      </w:r>
      <w:r w:rsidR="00216C9A">
        <w:rPr>
          <w:szCs w:val="20"/>
        </w:rPr>
        <w:t>stakeholder/s</w:t>
      </w:r>
      <w:r w:rsidR="00216C9A">
        <w:t xml:space="preserve">, government department </w:t>
      </w:r>
      <w:r w:rsidR="00216C9A">
        <w:rPr>
          <w:szCs w:val="20"/>
        </w:rPr>
        <w:t>stakeholder/s</w:t>
      </w:r>
      <w:r>
        <w:t xml:space="preserve">, retailers and tobacco wholesalers and importers who gave positive ratings indicated that they believe that the perceived status and glamour that was once associated with smoking premium brand tobacco products has likely been removed by tobacco plain packaging, and as a result so has consumers’ identification with, and purchase of, these brands. </w:t>
      </w:r>
      <w:r w:rsidR="006C7930">
        <w:t>These stakeholders</w:t>
      </w:r>
      <w:r w:rsidR="006C7930" w:rsidRPr="006C7930">
        <w:t xml:space="preserve"> did not cite any sources to support their view.</w:t>
      </w:r>
    </w:p>
    <w:p w:rsidR="00CF7118" w:rsidRDefault="00CF7118" w:rsidP="00E22A51">
      <w:pPr>
        <w:spacing w:before="80" w:after="80"/>
      </w:pPr>
      <w:r>
        <w:t xml:space="preserve">Some retailers and tobacco wholesalers and importers believe that because consumers are </w:t>
      </w:r>
      <w:proofErr w:type="gramStart"/>
      <w:r>
        <w:t>less brand</w:t>
      </w:r>
      <w:proofErr w:type="gramEnd"/>
      <w:r>
        <w:t xml:space="preserve"> conscious they may be more likely to purchase less pr</w:t>
      </w:r>
      <w:r w:rsidR="0068707C">
        <w:t xml:space="preserve">estigious brands. </w:t>
      </w:r>
      <w:r w:rsidR="006C7930" w:rsidRPr="006C7930">
        <w:t>They did not cite any</w:t>
      </w:r>
      <w:r w:rsidR="00951DE1">
        <w:t xml:space="preserve"> sources to support their view.</w:t>
      </w:r>
    </w:p>
    <w:p w:rsidR="00CF7118" w:rsidRDefault="00CF7118" w:rsidP="00E22A51">
      <w:pPr>
        <w:spacing w:before="80" w:after="80"/>
      </w:pPr>
      <w:r>
        <w:t xml:space="preserve">Public </w:t>
      </w:r>
      <w:r w:rsidR="00216C9A">
        <w:t>health organisation and expert</w:t>
      </w:r>
      <w:r>
        <w:t xml:space="preserve"> </w:t>
      </w:r>
      <w:r w:rsidR="00216C9A">
        <w:rPr>
          <w:szCs w:val="20"/>
        </w:rPr>
        <w:t>stakeholder/s</w:t>
      </w:r>
      <w:r w:rsidR="00216C9A">
        <w:t xml:space="preserve"> </w:t>
      </w:r>
      <w:r>
        <w:t xml:space="preserve">referred to a peer reviewed </w:t>
      </w:r>
      <w:r w:rsidR="006C7930">
        <w:t>journal article</w:t>
      </w:r>
      <w:r>
        <w:t xml:space="preserve"> which they believe suggests that the introduction of tobacco plain packaging was associated with an increase in th</w:t>
      </w:r>
      <w:r w:rsidR="000B5220">
        <w:t>e use of value brands. This</w:t>
      </w:r>
      <w:r w:rsidR="00092104">
        <w:t xml:space="preserve"> study concluded</w:t>
      </w:r>
      <w:r>
        <w:t xml:space="preserve"> that this was likely due to the increased numbers of value brands available and the fact that there were smaller increases in prices for value brands relative to premium brands (</w:t>
      </w:r>
      <w:proofErr w:type="spellStart"/>
      <w:r>
        <w:t>Scollo</w:t>
      </w:r>
      <w:proofErr w:type="spellEnd"/>
      <w:r>
        <w:t xml:space="preserve"> et al, 2015</w:t>
      </w:r>
      <w:r w:rsidR="000B5220">
        <w:t>; public health analysis of peer reviewed article published in journal</w:t>
      </w:r>
      <w:r w:rsidR="00951DE1">
        <w:t>).</w:t>
      </w:r>
    </w:p>
    <w:p w:rsidR="00CF7118" w:rsidRDefault="00CF7118" w:rsidP="00E22A51">
      <w:pPr>
        <w:spacing w:before="80" w:after="80"/>
      </w:pPr>
      <w:r>
        <w:t xml:space="preserve">Consumers who provided negative ratings had diverse views on the impact of tobacco plain packaging on the choice of brand. Some reported that the measure has had no impact on their choice of brand, while others believe consumers are </w:t>
      </w:r>
      <w:proofErr w:type="gramStart"/>
      <w:r>
        <w:t>less brand</w:t>
      </w:r>
      <w:proofErr w:type="gramEnd"/>
      <w:r>
        <w:t xml:space="preserve"> conscious. They also referred to the price of tobacco products as one factor which influences consumers’ choice of brand.  </w:t>
      </w:r>
      <w:r w:rsidR="00372934" w:rsidRPr="00372934">
        <w:t>They did not cite any</w:t>
      </w:r>
      <w:r w:rsidR="00951DE1">
        <w:t xml:space="preserve"> sources to support their view.</w:t>
      </w:r>
    </w:p>
    <w:p w:rsidR="00266C85" w:rsidRDefault="00216C9A" w:rsidP="00045EBD">
      <w:pPr>
        <w:spacing w:before="80" w:after="80"/>
      </w:pPr>
      <w:r>
        <w:t xml:space="preserve">Tobacco company </w:t>
      </w:r>
      <w:r>
        <w:rPr>
          <w:szCs w:val="20"/>
        </w:rPr>
        <w:t>stakeholder/s</w:t>
      </w:r>
      <w:r w:rsidR="00CF7118">
        <w:t>, tobacco packaging manufa</w:t>
      </w:r>
      <w:r>
        <w:t xml:space="preserve">cturers, non-health related NGO </w:t>
      </w:r>
      <w:r>
        <w:rPr>
          <w:szCs w:val="20"/>
        </w:rPr>
        <w:t>stakeholder/s</w:t>
      </w:r>
      <w:r w:rsidR="00CF7118">
        <w:t xml:space="preserve"> and retailers who provided negative ratings referred to sources which they </w:t>
      </w:r>
      <w:r w:rsidR="00CF7118">
        <w:lastRenderedPageBreak/>
        <w:t>believe suggest that consumer buying habits have changed as a result of tobacco plain packaging together with ad hoc tobacco excise increases in the cost of to</w:t>
      </w:r>
      <w:bookmarkStart w:id="63" w:name="_Toc418420303"/>
      <w:bookmarkStart w:id="64" w:name="_Toc418770486"/>
      <w:bookmarkStart w:id="65" w:name="_Toc419889565"/>
      <w:r w:rsidR="00951DE1">
        <w:t>bacco products.</w:t>
      </w:r>
    </w:p>
    <w:p w:rsidR="00045EBD" w:rsidRPr="00DD6536" w:rsidRDefault="00045EBD" w:rsidP="00045EBD">
      <w:pPr>
        <w:spacing w:before="80" w:after="80"/>
      </w:pPr>
      <w:r>
        <w:t>These stakeholders supported their vie</w:t>
      </w:r>
      <w:r w:rsidR="00951DE1">
        <w:t>ws with the following sources:</w:t>
      </w:r>
    </w:p>
    <w:p w:rsidR="00045EBD" w:rsidRPr="00DD6536" w:rsidRDefault="00045EBD" w:rsidP="00EC02D0">
      <w:pPr>
        <w:pStyle w:val="Bullet"/>
        <w:spacing w:before="80" w:after="80"/>
        <w:rPr>
          <w:b/>
        </w:rPr>
      </w:pPr>
      <w:r>
        <w:t xml:space="preserve">A 2014 newspaper article which analyses industry data (Kerr and Creighton 2014) which was cited as </w:t>
      </w:r>
      <w:r w:rsidR="00BA4C02">
        <w:t>showing</w:t>
      </w:r>
      <w:r>
        <w:t xml:space="preserve"> that t</w:t>
      </w:r>
      <w:r w:rsidRPr="00DD6536">
        <w:t>he commoditization of tobacco products in Australia has altered the competitive dynamics of the market by shifting consumer demand to lower-priced products, while not reducing smoking prevalence or tobacco consumption</w:t>
      </w:r>
      <w:r w:rsidR="00560281">
        <w:t>;</w:t>
      </w:r>
    </w:p>
    <w:p w:rsidR="00045EBD" w:rsidRPr="00DD6536" w:rsidRDefault="00045EBD" w:rsidP="00EC02D0">
      <w:pPr>
        <w:pStyle w:val="Bullet"/>
        <w:spacing w:before="80" w:after="80"/>
        <w:rPr>
          <w:b/>
        </w:rPr>
      </w:pPr>
      <w:r>
        <w:t xml:space="preserve">A 2014 newspaper article which analyses non-public </w:t>
      </w:r>
      <w:proofErr w:type="spellStart"/>
      <w:r>
        <w:t>InfoView</w:t>
      </w:r>
      <w:proofErr w:type="spellEnd"/>
      <w:r>
        <w:t xml:space="preserve"> data (Kerr 2014) which </w:t>
      </w:r>
      <w:r w:rsidR="00875D5D">
        <w:t xml:space="preserve">was cited as </w:t>
      </w:r>
      <w:r w:rsidR="00BA4C02">
        <w:t>showing</w:t>
      </w:r>
      <w:r>
        <w:t xml:space="preserve"> that </w:t>
      </w:r>
      <w:r w:rsidRPr="00DD6536">
        <w:t>a rise in the market share of cheaper cigarettes from 32% to 37% last year</w:t>
      </w:r>
      <w:r>
        <w:t>. The newspaper article also states that this</w:t>
      </w:r>
      <w:r w:rsidRPr="00DD6536">
        <w:t xml:space="preserve"> is backed up by retailers, consumer marketers and the industry, with cigarette maker P</w:t>
      </w:r>
      <w:r>
        <w:t xml:space="preserve">hillip </w:t>
      </w:r>
      <w:r w:rsidRPr="00DD6536">
        <w:t>M</w:t>
      </w:r>
      <w:r>
        <w:t xml:space="preserve">orris </w:t>
      </w:r>
      <w:r w:rsidRPr="00DD6536">
        <w:t>I</w:t>
      </w:r>
      <w:r>
        <w:t>nternational</w:t>
      </w:r>
      <w:r w:rsidRPr="00DD6536">
        <w:t xml:space="preserve"> saying its information showed no drop in demand</w:t>
      </w:r>
      <w:r w:rsidR="00560281">
        <w:t>; and</w:t>
      </w:r>
    </w:p>
    <w:p w:rsidR="00045EBD" w:rsidRPr="00045EBD" w:rsidRDefault="00045EBD" w:rsidP="00EC02D0">
      <w:pPr>
        <w:pStyle w:val="Bullet"/>
        <w:rPr>
          <w:b/>
        </w:rPr>
      </w:pPr>
      <w:r>
        <w:rPr>
          <w:lang w:eastAsia="en-AU"/>
        </w:rPr>
        <w:t xml:space="preserve">Non-public Aztec sales data, which was referenced in a written submission from a major industry body and </w:t>
      </w:r>
      <w:r w:rsidR="00875D5D">
        <w:rPr>
          <w:lang w:eastAsia="en-AU"/>
        </w:rPr>
        <w:t xml:space="preserve">cited as </w:t>
      </w:r>
      <w:r w:rsidR="00BA4C02">
        <w:t>showing</w:t>
      </w:r>
      <w:r>
        <w:rPr>
          <w:lang w:eastAsia="en-AU"/>
        </w:rPr>
        <w:t xml:space="preserve"> that a</w:t>
      </w:r>
      <w:r w:rsidRPr="00DD6536">
        <w:rPr>
          <w:lang w:eastAsia="en-AU"/>
        </w:rPr>
        <w:t xml:space="preserve">s brand identity has been eroded, price has become the key driver in consumers’ purchasing habits and according to actual sales data from Aztec, the </w:t>
      </w:r>
      <w:r>
        <w:rPr>
          <w:lang w:eastAsia="en-AU"/>
        </w:rPr>
        <w:t>s</w:t>
      </w:r>
      <w:r w:rsidRPr="00DD6536">
        <w:rPr>
          <w:lang w:eastAsia="en-AU"/>
        </w:rPr>
        <w:t>ub-value tobacco segment continues to drive growth in value at +53.1% fo</w:t>
      </w:r>
      <w:r>
        <w:rPr>
          <w:lang w:eastAsia="en-AU"/>
        </w:rPr>
        <w:t>r the 12 months to January 2015</w:t>
      </w:r>
      <w:r w:rsidR="00560281">
        <w:rPr>
          <w:lang w:eastAsia="en-AU"/>
        </w:rPr>
        <w:t>.</w:t>
      </w:r>
    </w:p>
    <w:p w:rsidR="00CF7118" w:rsidRDefault="00CF7118" w:rsidP="00EC02D0">
      <w:pPr>
        <w:pStyle w:val="Bullet"/>
        <w:numPr>
          <w:ilvl w:val="0"/>
          <w:numId w:val="0"/>
        </w:numPr>
        <w:spacing w:before="80" w:after="80"/>
      </w:pPr>
      <w:r>
        <w:t xml:space="preserve">One </w:t>
      </w:r>
      <w:r w:rsidR="006D2CE3">
        <w:t xml:space="preserve">non-health </w:t>
      </w:r>
      <w:r>
        <w:t>NGO</w:t>
      </w:r>
      <w:r w:rsidR="00216C9A">
        <w:t xml:space="preserve"> </w:t>
      </w:r>
      <w:r w:rsidR="00216C9A">
        <w:rPr>
          <w:szCs w:val="20"/>
        </w:rPr>
        <w:t>stakeholder/s</w:t>
      </w:r>
      <w:r>
        <w:t xml:space="preserve"> who provided a negative rating reported that tobacco plain packaging has had an effect on choice of brand but had not reduced the appeal of tobacco products as consumers do not care about what tobacco packaging looks like.</w:t>
      </w:r>
      <w:r w:rsidR="00213ADE">
        <w:t xml:space="preserve"> </w:t>
      </w:r>
      <w:r w:rsidR="00372934">
        <w:t>This stakeholder</w:t>
      </w:r>
      <w:r w:rsidR="00213ADE">
        <w:t xml:space="preserve"> did not cite any sources to support their view.</w:t>
      </w:r>
    </w:p>
    <w:p w:rsidR="00CF7118" w:rsidRDefault="00CF7118" w:rsidP="00976F59">
      <w:pPr>
        <w:pStyle w:val="Heading5"/>
      </w:pPr>
      <w:r>
        <w:t>R</w:t>
      </w:r>
      <w:r w:rsidRPr="00DF6E30">
        <w:t xml:space="preserve">educed appeal leading to </w:t>
      </w:r>
      <w:r w:rsidR="00BC2FA4" w:rsidRPr="00BC2FA4">
        <w:t>changes in</w:t>
      </w:r>
      <w:r w:rsidRPr="00BC2FA4">
        <w:t xml:space="preserve"> smoking</w:t>
      </w:r>
      <w:r w:rsidR="00951DE1">
        <w:t xml:space="preserve"> related behaviours</w:t>
      </w:r>
    </w:p>
    <w:p w:rsidR="00415AF8" w:rsidRDefault="00415AF8" w:rsidP="00E22A51">
      <w:pPr>
        <w:spacing w:before="80" w:after="80"/>
      </w:pPr>
      <w:r>
        <w:t>One tobacco company</w:t>
      </w:r>
      <w:r w:rsidR="00216C9A">
        <w:t xml:space="preserve"> </w:t>
      </w:r>
      <w:r w:rsidR="0068707C">
        <w:rPr>
          <w:szCs w:val="20"/>
        </w:rPr>
        <w:t>stakeholder</w:t>
      </w:r>
      <w:r>
        <w:t xml:space="preserve"> noted that studies in support of </w:t>
      </w:r>
      <w:r w:rsidR="00565419">
        <w:t xml:space="preserve">tobacco </w:t>
      </w:r>
      <w:r>
        <w:t>plain packaging, where respondents generally</w:t>
      </w:r>
      <w:r w:rsidRPr="002B0141">
        <w:t xml:space="preserve"> say they find </w:t>
      </w:r>
      <w:r>
        <w:t xml:space="preserve">tobacco plain packaging </w:t>
      </w:r>
      <w:r w:rsidRPr="002B0141">
        <w:t xml:space="preserve">less </w:t>
      </w:r>
      <w:r>
        <w:t xml:space="preserve">appealing than branded packaging, only provide an </w:t>
      </w:r>
      <w:r w:rsidRPr="002B0141">
        <w:t>indication o</w:t>
      </w:r>
      <w:r>
        <w:t>f the respondent</w:t>
      </w:r>
      <w:r w:rsidR="0068707C">
        <w:t>’</w:t>
      </w:r>
      <w:r>
        <w:t>s perceptions and</w:t>
      </w:r>
      <w:r w:rsidRPr="002B0141">
        <w:t xml:space="preserve"> do not address wh</w:t>
      </w:r>
      <w:r>
        <w:t>ether reported reductions in appeal</w:t>
      </w:r>
      <w:r w:rsidRPr="002B0141">
        <w:t xml:space="preserve"> have any relevance to the actual decision t</w:t>
      </w:r>
      <w:r>
        <w:t xml:space="preserve">o start (or continue) smoking. For this reason they say that </w:t>
      </w:r>
      <w:r w:rsidRPr="002B0141">
        <w:t>there is no basis to assume reducing the appeal of tobacco packaging is relevant to the factors that contribute t</w:t>
      </w:r>
      <w:r>
        <w:t>o and determine an individual</w:t>
      </w:r>
      <w:r w:rsidRPr="002B0141">
        <w:t>’s attitude to smoking and</w:t>
      </w:r>
      <w:r>
        <w:t xml:space="preserve">/or becoming a smoker. </w:t>
      </w:r>
      <w:r w:rsidR="00372934">
        <w:t>This stakeholder</w:t>
      </w:r>
      <w:r w:rsidR="00372934" w:rsidRPr="00372934">
        <w:t xml:space="preserve"> did not cite any sources to support their view.</w:t>
      </w:r>
    </w:p>
    <w:p w:rsidR="00875D5D" w:rsidRDefault="00415AF8" w:rsidP="00E22A51">
      <w:pPr>
        <w:spacing w:before="80" w:after="80"/>
      </w:pPr>
      <w:r>
        <w:t>Public health advocates</w:t>
      </w:r>
      <w:r w:rsidR="00C737FF">
        <w:t xml:space="preserve"> argue</w:t>
      </w:r>
      <w:r w:rsidR="005361D5">
        <w:t>,</w:t>
      </w:r>
      <w:r>
        <w:t xml:space="preserve"> based on peer reviewed literature</w:t>
      </w:r>
      <w:r w:rsidR="005361D5">
        <w:t>,</w:t>
      </w:r>
      <w:r>
        <w:t xml:space="preserve"> that particular consumer perceptions may be predictive of intentions to quit in the longer term. </w:t>
      </w:r>
      <w:r w:rsidR="004C12DF">
        <w:t xml:space="preserve">For example, they referred to </w:t>
      </w:r>
      <w:r w:rsidR="00875D5D" w:rsidRPr="00875D5D">
        <w:t xml:space="preserve">Brennan et al, 2105, a peer reviewed article which was cited as </w:t>
      </w:r>
      <w:r w:rsidR="00FE0748">
        <w:t>showing</w:t>
      </w:r>
      <w:r w:rsidR="00875D5D" w:rsidRPr="00875D5D">
        <w:t xml:space="preserve"> that</w:t>
      </w:r>
      <w:r w:rsidR="00951DE1">
        <w:t>:</w:t>
      </w:r>
    </w:p>
    <w:p w:rsidR="00C95006" w:rsidRDefault="008C28AF" w:rsidP="00EC02D0">
      <w:pPr>
        <w:pStyle w:val="Bullet"/>
      </w:pPr>
      <w:r>
        <w:t>T</w:t>
      </w:r>
      <w:r w:rsidR="007C3D9A">
        <w:t xml:space="preserve">obacco plain packaging with larger </w:t>
      </w:r>
      <w:r w:rsidR="00BE2397">
        <w:t>GHWs</w:t>
      </w:r>
      <w:r w:rsidR="007C3D9A" w:rsidRPr="007C3D9A">
        <w:t xml:space="preserve"> positively and significantly predicted the likelihood that smokers at follow-up reported thinking about quitting at least daily, intending to quit, having a firm date to quit, stubbing out cigarettes prematurely, stopping oneself from smoking and having attempted to quit.</w:t>
      </w:r>
      <w:r w:rsidR="00706E2E">
        <w:t xml:space="preserve"> </w:t>
      </w:r>
      <w:r w:rsidR="00C95006">
        <w:t xml:space="preserve"> T</w:t>
      </w:r>
      <w:r w:rsidR="00C077CE">
        <w:t xml:space="preserve">he study </w:t>
      </w:r>
      <w:r w:rsidR="00C95006">
        <w:t xml:space="preserve">noted </w:t>
      </w:r>
      <w:r w:rsidR="00C077CE">
        <w:t>that a</w:t>
      </w:r>
      <w:r w:rsidR="00706E2E">
        <w:t xml:space="preserve"> small</w:t>
      </w:r>
      <w:r w:rsidR="00706E2E" w:rsidRPr="00706E2E">
        <w:t xml:space="preserve"> number of the appeal variables were </w:t>
      </w:r>
      <w:r w:rsidR="00706E2E">
        <w:t xml:space="preserve">also </w:t>
      </w:r>
      <w:r w:rsidR="00706E2E" w:rsidRPr="00706E2E">
        <w:t>prospectively associated with quitting-related outcomes</w:t>
      </w:r>
      <w:r w:rsidR="00C95006">
        <w:t>.</w:t>
      </w:r>
    </w:p>
    <w:p w:rsidR="00C95006" w:rsidRDefault="00C077CE" w:rsidP="00EC02D0">
      <w:pPr>
        <w:pStyle w:val="Bullet"/>
        <w:numPr>
          <w:ilvl w:val="0"/>
          <w:numId w:val="0"/>
        </w:numPr>
      </w:pPr>
      <w:r>
        <w:t>Stakeholders believe t</w:t>
      </w:r>
      <w:r w:rsidR="00706E2E" w:rsidRPr="00706E2E">
        <w:t xml:space="preserve">hese findings provide an initial insight into the pathways through which </w:t>
      </w:r>
      <w:r w:rsidR="00706E2E">
        <w:t>tobacco plain packaging</w:t>
      </w:r>
      <w:r w:rsidR="00706E2E" w:rsidRPr="00706E2E">
        <w:t xml:space="preserve"> with larger </w:t>
      </w:r>
      <w:r w:rsidR="00BE2397">
        <w:t>GHWs</w:t>
      </w:r>
      <w:r w:rsidR="00706E2E" w:rsidRPr="00706E2E">
        <w:t xml:space="preserve"> may lead </w:t>
      </w:r>
      <w:r w:rsidR="00706E2E">
        <w:t>to changes in smoking behaviour.</w:t>
      </w:r>
    </w:p>
    <w:p w:rsidR="00415AF8" w:rsidRPr="006D2CE3" w:rsidRDefault="005361D5" w:rsidP="00EC02D0">
      <w:pPr>
        <w:pStyle w:val="Bullet"/>
        <w:numPr>
          <w:ilvl w:val="0"/>
          <w:numId w:val="0"/>
        </w:numPr>
      </w:pPr>
      <w:r>
        <w:t xml:space="preserve">Public </w:t>
      </w:r>
      <w:r w:rsidR="00216C9A">
        <w:t xml:space="preserve">health organisation and expert </w:t>
      </w:r>
      <w:r w:rsidR="00216C9A">
        <w:rPr>
          <w:szCs w:val="20"/>
        </w:rPr>
        <w:t>stakeholder/s</w:t>
      </w:r>
      <w:r w:rsidR="00216C9A">
        <w:t xml:space="preserve">, government department </w:t>
      </w:r>
      <w:r w:rsidR="00216C9A">
        <w:rPr>
          <w:szCs w:val="20"/>
        </w:rPr>
        <w:t>stakeholder/s</w:t>
      </w:r>
      <w:r w:rsidR="00216C9A">
        <w:t xml:space="preserve"> and health related NGO </w:t>
      </w:r>
      <w:r w:rsidR="00216C9A">
        <w:rPr>
          <w:szCs w:val="20"/>
        </w:rPr>
        <w:t>stakeholder/s</w:t>
      </w:r>
      <w:r w:rsidR="00415AF8">
        <w:t xml:space="preserve"> also recognise that tobacco plain packaging is on</w:t>
      </w:r>
      <w:r w:rsidR="00AE2F5E">
        <w:t xml:space="preserve">e of a range of measures (such as </w:t>
      </w:r>
      <w:r w:rsidR="00BE2397">
        <w:t>GHWs</w:t>
      </w:r>
      <w:r w:rsidR="00415AF8">
        <w:t xml:space="preserve">) which work together in order to reduce the appeal of tobacco </w:t>
      </w:r>
      <w:r w:rsidR="00415AF8" w:rsidRPr="006D2CE3">
        <w:t>products, and therefore increase the likelihood that people think about and prioritise quitting.</w:t>
      </w:r>
    </w:p>
    <w:bookmarkEnd w:id="63"/>
    <w:bookmarkEnd w:id="64"/>
    <w:bookmarkEnd w:id="65"/>
    <w:p w:rsidR="00976F59" w:rsidRDefault="00976F59">
      <w:pPr>
        <w:tabs>
          <w:tab w:val="clear" w:pos="357"/>
        </w:tabs>
        <w:spacing w:before="0" w:after="0"/>
      </w:pPr>
      <w:r>
        <w:br w:type="page"/>
      </w:r>
    </w:p>
    <w:p w:rsidR="00AD43BE" w:rsidRPr="006D2CE3" w:rsidRDefault="00727469" w:rsidP="00E22A51">
      <w:pPr>
        <w:spacing w:before="80" w:after="80"/>
      </w:pPr>
      <w:r>
        <w:lastRenderedPageBreak/>
        <w:t>Table 4</w:t>
      </w:r>
      <w:r w:rsidR="00AD43BE" w:rsidRPr="006D2CE3">
        <w:t xml:space="preserve"> presents a sample of stakeholder views across groups</w:t>
      </w:r>
      <w:r w:rsidR="00442309" w:rsidRPr="006D2CE3">
        <w:t xml:space="preserve"> in order to illustrate the diversity of views</w:t>
      </w:r>
      <w:r w:rsidR="00951DE1">
        <w:t>.</w:t>
      </w:r>
    </w:p>
    <w:p w:rsidR="008504A1" w:rsidRPr="00BC2BBC" w:rsidRDefault="00AB1066" w:rsidP="00192E2B">
      <w:pPr>
        <w:pStyle w:val="TblHeading"/>
      </w:pPr>
      <w:proofErr w:type="gramStart"/>
      <w:r w:rsidRPr="006D2CE3">
        <w:t>T</w:t>
      </w:r>
      <w:r w:rsidR="00727469">
        <w:t>able 4</w:t>
      </w:r>
      <w:r w:rsidR="00AD43BE" w:rsidRPr="006D2CE3">
        <w:t>.</w:t>
      </w:r>
      <w:proofErr w:type="gramEnd"/>
      <w:r w:rsidR="008504A1" w:rsidRPr="00AB1066">
        <w:t xml:space="preserve"> </w:t>
      </w:r>
      <w:r w:rsidR="00951DE1">
        <w:t>Examples of stakeholder views</w:t>
      </w:r>
    </w:p>
    <w:p w:rsidR="00792E1A" w:rsidRPr="006F77EC"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0"/>
        </w:rPr>
      </w:pPr>
      <w:r w:rsidRPr="006F77EC">
        <w:rPr>
          <w:szCs w:val="20"/>
        </w:rPr>
        <w:t xml:space="preserve">“…in the early days of tobacco control there were efforts to remove the visibility of advertising, and those could be said to reduce the visibility but maybe not the appeal. But this is a distinct strategy that is trying to deglamourize and remove the ability of tobacco companies to brand in the way that they did for so many years.” </w:t>
      </w:r>
      <w:r>
        <w:rPr>
          <w:szCs w:val="20"/>
        </w:rPr>
        <w:t>(Public health organisation/expert)</w:t>
      </w:r>
    </w:p>
    <w:p w:rsidR="00792E1A" w:rsidRPr="00A62252"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0"/>
        </w:rPr>
      </w:pPr>
      <w:r w:rsidRPr="006F77EC">
        <w:rPr>
          <w:szCs w:val="20"/>
        </w:rPr>
        <w:t>“to a great extent….because tobacco products have used their packaging to appeal to different ages and genders in somewhat subtle but very well researched way to attract people to their products and since so much other advertising of tobacco has gone, the packaging was the last, one of the last things that was attracting people, or increasing the appeal of tobacco.”</w:t>
      </w:r>
      <w:r>
        <w:rPr>
          <w:szCs w:val="20"/>
        </w:rPr>
        <w:t xml:space="preserve"> (Public health organisation/expert)</w:t>
      </w:r>
    </w:p>
    <w:p w:rsidR="00792E1A" w:rsidRPr="00A62252"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6F77EC">
        <w:rPr>
          <w:szCs w:val="20"/>
        </w:rPr>
        <w:t>“</w:t>
      </w:r>
      <w:proofErr w:type="gramStart"/>
      <w:r w:rsidRPr="006F77EC">
        <w:rPr>
          <w:szCs w:val="20"/>
        </w:rPr>
        <w:t>too</w:t>
      </w:r>
      <w:proofErr w:type="gramEnd"/>
      <w:r>
        <w:rPr>
          <w:szCs w:val="20"/>
        </w:rPr>
        <w:t xml:space="preserve"> [sic]</w:t>
      </w:r>
      <w:r w:rsidRPr="006F77EC">
        <w:rPr>
          <w:szCs w:val="20"/>
        </w:rPr>
        <w:t xml:space="preserve"> a great extent…based on available evidence (published and conference presentations) </w:t>
      </w:r>
      <w:r>
        <w:rPr>
          <w:szCs w:val="20"/>
        </w:rPr>
        <w:t xml:space="preserve">tobacco plain packaging </w:t>
      </w:r>
      <w:r w:rsidRPr="006F77EC">
        <w:rPr>
          <w:szCs w:val="20"/>
        </w:rPr>
        <w:t>is having a positive influence. There are more smokers making quit attempts, less tobacco brand appeal and loyalty, and a reduction in the perceived appeal of tobacco products for youth. There is also evidence that the measures are changing the way smokers smoke, for example hiding their packs from view of others and smoking less of a cigarette before extinguishing.”</w:t>
      </w:r>
      <w:r>
        <w:t xml:space="preserve"> (</w:t>
      </w:r>
      <w:r w:rsidRPr="003B5577">
        <w:t>Government department</w:t>
      </w:r>
      <w:r>
        <w:t xml:space="preserve"> stakeholder)</w:t>
      </w:r>
    </w:p>
    <w:p w:rsidR="00792E1A" w:rsidRPr="003B7AD4"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3B7AD4">
        <w:t>“</w:t>
      </w:r>
      <w:r>
        <w:t xml:space="preserve">Tobacco plain packaging </w:t>
      </w:r>
      <w:r w:rsidRPr="003B7AD4">
        <w:t xml:space="preserve">means that it’s less about the brand. Whilst people are creatures of habit and like to pick a particular brand, the </w:t>
      </w:r>
      <w:r>
        <w:t xml:space="preserve">tobacco plain packaging </w:t>
      </w:r>
      <w:r w:rsidRPr="003B7AD4">
        <w:t xml:space="preserve">means it’s all the same so now preference has been taken out of the equation. Tobacco companies can no longer put something on the packaging to make their packs more attractive to a potential buyer.” </w:t>
      </w:r>
      <w:r>
        <w:t>(</w:t>
      </w:r>
      <w:r w:rsidRPr="003B5577">
        <w:t>Non health</w:t>
      </w:r>
      <w:r>
        <w:t xml:space="preserve"> related</w:t>
      </w:r>
      <w:r w:rsidRPr="003B5577">
        <w:t xml:space="preserve"> NGO</w:t>
      </w:r>
      <w:r>
        <w:t>)</w:t>
      </w:r>
    </w:p>
    <w:p w:rsidR="00792E1A" w:rsidRPr="003B7AD4"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3B7AD4">
        <w:t xml:space="preserve">“Based on the evidence, it is clear that people dislike the packaging, although, it is not clear whether their dislikes on </w:t>
      </w:r>
      <w:r>
        <w:t xml:space="preserve">tobacco plain packaging </w:t>
      </w:r>
      <w:r w:rsidRPr="003B7AD4">
        <w:t xml:space="preserve">translate into their intention to quit or start smoking.” </w:t>
      </w:r>
      <w:r>
        <w:t>(</w:t>
      </w:r>
      <w:r w:rsidRPr="003B5577">
        <w:t xml:space="preserve">Non health </w:t>
      </w:r>
      <w:r>
        <w:t xml:space="preserve">related </w:t>
      </w:r>
      <w:r w:rsidRPr="003B5577">
        <w:t>NGO</w:t>
      </w:r>
      <w:r>
        <w:t>)</w:t>
      </w:r>
    </w:p>
    <w:p w:rsidR="00792E1A"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3B7AD4">
        <w:t xml:space="preserve">“The statistical evidence is absolutely clear that plain packaging, while having an effect on choice of brand, has no </w:t>
      </w:r>
      <w:proofErr w:type="gramStart"/>
      <w:r w:rsidRPr="003B7AD4">
        <w:t>effect</w:t>
      </w:r>
      <w:proofErr w:type="gramEnd"/>
      <w:r w:rsidRPr="003B7AD4">
        <w:t xml:space="preserve"> whatsoever in reducing the appeal of tobacco products</w:t>
      </w:r>
      <w:r>
        <w:t>.</w:t>
      </w:r>
      <w:r w:rsidRPr="003B7AD4">
        <w:t xml:space="preserve">” </w:t>
      </w:r>
      <w:r>
        <w:t>(</w:t>
      </w:r>
      <w:r w:rsidRPr="003B5577">
        <w:t xml:space="preserve">Non health </w:t>
      </w:r>
      <w:r>
        <w:t xml:space="preserve">related </w:t>
      </w:r>
      <w:r w:rsidRPr="003B5577">
        <w:t>NGO</w:t>
      </w:r>
      <w:r>
        <w:t>)</w:t>
      </w:r>
    </w:p>
    <w:p w:rsidR="00792E1A"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3B7AD4">
        <w:t>“Customers now look for cheaper cigarettes without be</w:t>
      </w:r>
      <w:r>
        <w:t>ing too concerned about brand.”</w:t>
      </w:r>
    </w:p>
    <w:p w:rsidR="00792E1A" w:rsidRPr="003B7AD4"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3B7AD4">
        <w:t>“…people aren't worried what the packaging is, so long as they get their cigarettes.”</w:t>
      </w:r>
      <w:r>
        <w:t xml:space="preserve"> (Retailer)</w:t>
      </w:r>
    </w:p>
    <w:p w:rsidR="00792E1A" w:rsidRPr="00A62252"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3B7AD4">
        <w:t xml:space="preserve"> “People who want to smoke do so irrespective of the packaging. If they do not like the packet they simply purchase a tin or some other container and put their cigarettes in that</w:t>
      </w:r>
      <w:r>
        <w:t>.</w:t>
      </w:r>
      <w:r w:rsidRPr="003B7AD4">
        <w:t>”</w:t>
      </w:r>
      <w:r>
        <w:t xml:space="preserve"> </w:t>
      </w:r>
      <w:r w:rsidRPr="003B5577">
        <w:t>(Retailer)</w:t>
      </w:r>
    </w:p>
    <w:p w:rsidR="00792E1A" w:rsidRPr="006F77EC"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0"/>
        </w:rPr>
      </w:pPr>
      <w:r w:rsidRPr="006F77EC">
        <w:rPr>
          <w:szCs w:val="20"/>
        </w:rPr>
        <w:t xml:space="preserve"> “</w:t>
      </w:r>
      <w:r>
        <w:rPr>
          <w:szCs w:val="20"/>
        </w:rPr>
        <w:t xml:space="preserve">Tobacco plain packaging </w:t>
      </w:r>
      <w:r w:rsidRPr="006F77EC">
        <w:rPr>
          <w:szCs w:val="20"/>
        </w:rPr>
        <w:t xml:space="preserve">has shown consumers shift from the premium products to the lower end products to service their need – it has reduced the appeal of products.” </w:t>
      </w:r>
      <w:r>
        <w:rPr>
          <w:szCs w:val="20"/>
        </w:rPr>
        <w:t>(</w:t>
      </w:r>
      <w:r w:rsidRPr="003B5577">
        <w:rPr>
          <w:szCs w:val="20"/>
        </w:rPr>
        <w:t>T</w:t>
      </w:r>
      <w:r>
        <w:rPr>
          <w:szCs w:val="20"/>
        </w:rPr>
        <w:t>obacco wholesaler and importer)</w:t>
      </w:r>
    </w:p>
    <w:p w:rsidR="00792E1A" w:rsidRPr="006F77EC"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0"/>
        </w:rPr>
      </w:pPr>
      <w:r w:rsidRPr="006F77EC">
        <w:rPr>
          <w:szCs w:val="20"/>
        </w:rPr>
        <w:t xml:space="preserve">“The </w:t>
      </w:r>
      <w:r>
        <w:rPr>
          <w:szCs w:val="20"/>
        </w:rPr>
        <w:t xml:space="preserve">tobacco plain packaging </w:t>
      </w:r>
      <w:r w:rsidRPr="006F77EC">
        <w:rPr>
          <w:szCs w:val="20"/>
        </w:rPr>
        <w:t>is ineffective to existing smokers. Existing smokers know their product. Existing smokers won’t give up because of packaging. It is much more effective on new smokers. The glamour has gone as has identity with a particular brand.”</w:t>
      </w:r>
      <w:r>
        <w:rPr>
          <w:szCs w:val="20"/>
        </w:rPr>
        <w:t xml:space="preserve"> (</w:t>
      </w:r>
      <w:r w:rsidRPr="003B5577">
        <w:rPr>
          <w:szCs w:val="20"/>
        </w:rPr>
        <w:t>T</w:t>
      </w:r>
      <w:r>
        <w:rPr>
          <w:szCs w:val="20"/>
        </w:rPr>
        <w:t>obacco wholesaler and importer)</w:t>
      </w:r>
    </w:p>
    <w:p w:rsidR="00792E1A" w:rsidRPr="006F77EC"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0"/>
        </w:rPr>
      </w:pPr>
      <w:r w:rsidRPr="006F77EC">
        <w:rPr>
          <w:szCs w:val="20"/>
        </w:rPr>
        <w:t xml:space="preserve"> “Believe that the appeal of tobacco is due to reasons largely outside of packaging.  It can be argued that plain packs eliminate brand appeal but I believe this marginal at best</w:t>
      </w:r>
      <w:r>
        <w:rPr>
          <w:szCs w:val="20"/>
        </w:rPr>
        <w:t xml:space="preserve"> [sic]</w:t>
      </w:r>
      <w:r w:rsidRPr="006F77EC">
        <w:rPr>
          <w:szCs w:val="20"/>
        </w:rPr>
        <w:t xml:space="preserve">.” </w:t>
      </w:r>
      <w:r>
        <w:rPr>
          <w:szCs w:val="20"/>
        </w:rPr>
        <w:t>(Tobacco packaging manufacturer)</w:t>
      </w:r>
    </w:p>
    <w:p w:rsidR="00792E1A" w:rsidRPr="002203C0"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0"/>
        </w:rPr>
      </w:pPr>
      <w:r w:rsidRPr="006F77EC">
        <w:rPr>
          <w:szCs w:val="20"/>
        </w:rPr>
        <w:t>“Rather than the legislation effecting smoking rates as intended, it appears to have changed tobacco buying habits. Consumers are buying the same amount of tobacco, but in bulk quantities in order to, 'save the difficulty involved in purchasing tobacco'. This difficulty is due to the confusion created at the point of sale by the consumer's inability to</w:t>
      </w:r>
      <w:r>
        <w:rPr>
          <w:szCs w:val="20"/>
        </w:rPr>
        <w:t xml:space="preserve"> differentiate between brands.” (Tobacco packaging manufacturer)</w:t>
      </w:r>
    </w:p>
    <w:p w:rsidR="00792E1A" w:rsidRPr="0031308A"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0"/>
        </w:rPr>
      </w:pPr>
      <w:r w:rsidRPr="006F77EC" w:rsidDel="003B5577">
        <w:rPr>
          <w:b/>
          <w:i w:val="0"/>
          <w:szCs w:val="20"/>
        </w:rPr>
        <w:t xml:space="preserve"> </w:t>
      </w:r>
      <w:r w:rsidRPr="0031308A">
        <w:rPr>
          <w:szCs w:val="20"/>
        </w:rPr>
        <w:t xml:space="preserve">“I haven't changed my brand of cigarettes nor have I reduced the number of cigarettes I consume per day.” </w:t>
      </w:r>
      <w:r>
        <w:rPr>
          <w:szCs w:val="20"/>
        </w:rPr>
        <w:t>(Consumer)</w:t>
      </w:r>
    </w:p>
    <w:p w:rsidR="00792E1A" w:rsidRPr="0031308A"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0"/>
        </w:rPr>
      </w:pPr>
      <w:r w:rsidRPr="0031308A">
        <w:rPr>
          <w:szCs w:val="20"/>
        </w:rPr>
        <w:t>”Plain packaging has made no difference whatsoever to me purchasing the brand / type of cigarettes, I still purchase exact same packet as before.”</w:t>
      </w:r>
      <w:r>
        <w:t xml:space="preserve"> </w:t>
      </w:r>
      <w:r w:rsidRPr="003B5577">
        <w:rPr>
          <w:szCs w:val="20"/>
        </w:rPr>
        <w:t>(Consumer)</w:t>
      </w:r>
    </w:p>
    <w:p w:rsidR="00792E1A" w:rsidRPr="0031308A"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0"/>
        </w:rPr>
      </w:pPr>
      <w:r w:rsidRPr="0031308A">
        <w:rPr>
          <w:szCs w:val="20"/>
        </w:rPr>
        <w:t>“Smokers smoke because they like the particular brand, the packaging is immaterial.”</w:t>
      </w:r>
      <w:r>
        <w:t xml:space="preserve"> </w:t>
      </w:r>
      <w:r w:rsidRPr="003B5577">
        <w:rPr>
          <w:szCs w:val="20"/>
        </w:rPr>
        <w:t>(Consumer)</w:t>
      </w:r>
    </w:p>
    <w:p w:rsidR="00792E1A" w:rsidRPr="0031308A"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0"/>
        </w:rPr>
      </w:pPr>
      <w:r w:rsidRPr="0031308A">
        <w:rPr>
          <w:szCs w:val="20"/>
        </w:rPr>
        <w:lastRenderedPageBreak/>
        <w:t xml:space="preserve">“I do not know of anybody that has quit smoking or changed brands due to the pain packaging and it has not stopped people from starting smoking the only thing it has done has been the retailer selling the wrong brands and strengths to people.” </w:t>
      </w:r>
      <w:r w:rsidRPr="003B5577">
        <w:rPr>
          <w:szCs w:val="20"/>
        </w:rPr>
        <w:t>(Consumer)</w:t>
      </w:r>
    </w:p>
    <w:p w:rsidR="00792E1A" w:rsidRPr="0031308A"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0"/>
        </w:rPr>
      </w:pPr>
      <w:r w:rsidRPr="0031308A">
        <w:rPr>
          <w:szCs w:val="20"/>
        </w:rPr>
        <w:t>“Consumers are buying cheaper cigarette brands and are much more value conscious</w:t>
      </w:r>
      <w:r>
        <w:rPr>
          <w:szCs w:val="20"/>
        </w:rPr>
        <w:t>.</w:t>
      </w:r>
      <w:r w:rsidRPr="0031308A">
        <w:rPr>
          <w:szCs w:val="20"/>
        </w:rPr>
        <w:t>”</w:t>
      </w:r>
      <w:r>
        <w:t xml:space="preserve"> </w:t>
      </w:r>
      <w:r w:rsidRPr="003B5577">
        <w:rPr>
          <w:szCs w:val="20"/>
        </w:rPr>
        <w:t>(Consumer)</w:t>
      </w:r>
    </w:p>
    <w:p w:rsidR="00792E1A"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0"/>
        </w:rPr>
      </w:pPr>
      <w:r w:rsidRPr="0031308A">
        <w:rPr>
          <w:szCs w:val="20"/>
        </w:rPr>
        <w:t>“I have not known a single smoker who has quit as a result of plain packaging. The only result has been an increase in people buying cheap brands as they all look the same.”</w:t>
      </w:r>
      <w:r>
        <w:t xml:space="preserve"> </w:t>
      </w:r>
      <w:r w:rsidRPr="003B5577">
        <w:rPr>
          <w:szCs w:val="20"/>
        </w:rPr>
        <w:t>(Consumer)</w:t>
      </w:r>
    </w:p>
    <w:p w:rsidR="00792E1A" w:rsidRPr="00C97EB9" w:rsidRDefault="00792E1A" w:rsidP="00792E1A">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0"/>
        </w:rPr>
      </w:pPr>
      <w:r w:rsidRPr="0031308A">
        <w:rPr>
          <w:szCs w:val="20"/>
        </w:rPr>
        <w:t xml:space="preserve">“All it has done is </w:t>
      </w:r>
      <w:proofErr w:type="gramStart"/>
      <w:r w:rsidRPr="0031308A">
        <w:rPr>
          <w:szCs w:val="20"/>
        </w:rPr>
        <w:t>make</w:t>
      </w:r>
      <w:proofErr w:type="gramEnd"/>
      <w:r w:rsidRPr="0031308A">
        <w:rPr>
          <w:szCs w:val="20"/>
        </w:rPr>
        <w:t xml:space="preserve"> people smoke the cheaper brands as there is no stigma attached to it now that all the brand packets look alike.”</w:t>
      </w:r>
      <w:r>
        <w:t xml:space="preserve"> </w:t>
      </w:r>
      <w:r w:rsidRPr="003B5577">
        <w:rPr>
          <w:szCs w:val="20"/>
        </w:rPr>
        <w:t>(Consumer)</w:t>
      </w:r>
    </w:p>
    <w:p w:rsidR="009C2B00" w:rsidRPr="005A4AE3" w:rsidRDefault="00887995" w:rsidP="00493DCB">
      <w:pPr>
        <w:pStyle w:val="Heading3"/>
      </w:pPr>
      <w:r>
        <w:br w:type="page"/>
      </w:r>
      <w:bookmarkStart w:id="66" w:name="_Toc418770487"/>
      <w:bookmarkStart w:id="67" w:name="_Toc419889566"/>
      <w:bookmarkStart w:id="68" w:name="_Toc422478371"/>
      <w:bookmarkStart w:id="69" w:name="_Toc426122314"/>
      <w:bookmarkStart w:id="70" w:name="_Toc427306693"/>
      <w:r w:rsidR="009C2B00" w:rsidRPr="005A4AE3">
        <w:lastRenderedPageBreak/>
        <w:t>Increasing the effectiveness of health warnings on the retail packaging of tobacco products</w:t>
      </w:r>
      <w:bookmarkEnd w:id="66"/>
      <w:bookmarkEnd w:id="67"/>
      <w:r w:rsidR="00FA0176">
        <w:t xml:space="preserve"> </w:t>
      </w:r>
      <w:r w:rsidR="00FA0176" w:rsidRPr="008760F7">
        <w:t>(</w:t>
      </w:r>
      <w:r w:rsidR="0068707C" w:rsidRPr="008760F7">
        <w:t>section</w:t>
      </w:r>
      <w:r w:rsidR="00FA0176" w:rsidRPr="008760F7">
        <w:t xml:space="preserve"> 3(2</w:t>
      </w:r>
      <w:proofErr w:type="gramStart"/>
      <w:r w:rsidR="00FA0176" w:rsidRPr="008760F7">
        <w:t>)(</w:t>
      </w:r>
      <w:proofErr w:type="gramEnd"/>
      <w:r w:rsidR="00FA0176" w:rsidRPr="008760F7">
        <w:t>b) of the TPP Act)</w:t>
      </w:r>
      <w:bookmarkEnd w:id="68"/>
      <w:bookmarkEnd w:id="69"/>
      <w:bookmarkEnd w:id="70"/>
    </w:p>
    <w:p w:rsidR="009F584C" w:rsidRDefault="00342F11" w:rsidP="009F584C">
      <w:r>
        <w:t>Stakeholders</w:t>
      </w:r>
      <w:r w:rsidR="009F584C" w:rsidRPr="008D52FA">
        <w:t xml:space="preserve"> were asked to </w:t>
      </w:r>
      <w:r w:rsidR="009F584C" w:rsidRPr="008A4A6B">
        <w:t>provide ratings and qualitative</w:t>
      </w:r>
      <w:r w:rsidR="009F584C">
        <w:t xml:space="preserve"> </w:t>
      </w:r>
      <w:r w:rsidR="009F584C" w:rsidRPr="008D52FA">
        <w:t>comment on the extent to which they thought that the tobacco</w:t>
      </w:r>
      <w:r w:rsidR="009F584C">
        <w:t xml:space="preserve"> plain packaging </w:t>
      </w:r>
      <w:r w:rsidR="009F584C" w:rsidRPr="008D52FA">
        <w:t>measure, by regulating the retail packaging and appeara</w:t>
      </w:r>
      <w:r w:rsidR="009F584C">
        <w:t xml:space="preserve">nce of tobacco products, has </w:t>
      </w:r>
      <w:r w:rsidR="009F584C" w:rsidRPr="0003707F">
        <w:t>increased the effectiveness of health warnings on the retail packaging of tobacco products.</w:t>
      </w:r>
      <w:r w:rsidR="00DC6169">
        <w:t xml:space="preserve"> The limitations of this </w:t>
      </w:r>
      <w:r w:rsidR="005A7B6A">
        <w:t>data are</w:t>
      </w:r>
      <w:r w:rsidR="00DC6169">
        <w:t xml:space="preserve"> discussed </w:t>
      </w:r>
      <w:r w:rsidR="00951DE1">
        <w:t>at Section 1.3 of this report.</w:t>
      </w:r>
    </w:p>
    <w:p w:rsidR="009F584C" w:rsidRPr="009F584C" w:rsidRDefault="009F584C" w:rsidP="009F584C">
      <w:pPr>
        <w:pStyle w:val="Heading4"/>
      </w:pPr>
      <w:r w:rsidRPr="009F584C">
        <w:t>Quantitative ratings</w:t>
      </w:r>
    </w:p>
    <w:p w:rsidR="00727469" w:rsidRPr="00352E39" w:rsidRDefault="00727469" w:rsidP="00892EB6">
      <w:r w:rsidRPr="00352E39">
        <w:t>T</w:t>
      </w:r>
      <w:r>
        <w:t>able 5</w:t>
      </w:r>
      <w:r w:rsidRPr="00352E39">
        <w:t xml:space="preserve"> presents </w:t>
      </w:r>
      <w:r w:rsidRPr="00D46A69">
        <w:t>posit</w:t>
      </w:r>
      <w:r>
        <w:t xml:space="preserve">ive, negative and unsure </w:t>
      </w:r>
      <w:r w:rsidRPr="00352E39">
        <w:t>ratings</w:t>
      </w:r>
      <w:r>
        <w:t xml:space="preserve"> (and no response)</w:t>
      </w:r>
      <w:r w:rsidRPr="00352E39">
        <w:t xml:space="preserve"> by stakeholder </w:t>
      </w:r>
      <w:r w:rsidRPr="008F52D4">
        <w:t xml:space="preserve">category </w:t>
      </w:r>
      <w:r w:rsidRPr="008F52D4">
        <w:rPr>
          <w:rFonts w:cs="Times New Roman"/>
          <w:bCs/>
        </w:rPr>
        <w:t>for those stakeholders who participated in the consultation process using the consultation protocol only</w:t>
      </w:r>
      <w:r w:rsidRPr="008F52D4">
        <w:t>.</w:t>
      </w:r>
      <w:r w:rsidRPr="00352E39">
        <w:t xml:space="preserve"> This allows the reader to identify the stakeholder groups who gave each type of rating and the distribution of rat</w:t>
      </w:r>
      <w:r w:rsidR="00951DE1">
        <w:t>ings across stakeholder groups.</w:t>
      </w:r>
    </w:p>
    <w:p w:rsidR="00727469" w:rsidRPr="00E12A7B" w:rsidRDefault="00727469" w:rsidP="00192E2B">
      <w:pPr>
        <w:pStyle w:val="TblHeading"/>
      </w:pPr>
      <w:proofErr w:type="gramStart"/>
      <w:r>
        <w:t>Table 5</w:t>
      </w:r>
      <w:r w:rsidR="00031D1D">
        <w:t>.</w:t>
      </w:r>
      <w:proofErr w:type="gramEnd"/>
      <w:r w:rsidR="00031D1D">
        <w:t xml:space="preserve"> </w:t>
      </w:r>
      <w:r w:rsidR="00031D1D" w:rsidRPr="00E12A7B">
        <w:t xml:space="preserve">Frequency of types of quantitative ratings </w:t>
      </w:r>
      <w:r w:rsidR="00031D1D">
        <w:t>by stakeholders regarding whether the</w:t>
      </w:r>
      <w:r w:rsidR="00031D1D" w:rsidRPr="008D52FA">
        <w:t xml:space="preserve"> tobacco</w:t>
      </w:r>
      <w:r w:rsidR="00031D1D">
        <w:t xml:space="preserve"> plain packaging </w:t>
      </w:r>
      <w:r w:rsidR="00031D1D" w:rsidRPr="008D52FA">
        <w:t>measure</w:t>
      </w:r>
      <w:r w:rsidR="00031D1D">
        <w:t xml:space="preserve"> has</w:t>
      </w:r>
      <w:r w:rsidR="00EC02D0">
        <w:t xml:space="preserve"> </w:t>
      </w:r>
      <w:r w:rsidR="00EC02D0" w:rsidRPr="0003707F">
        <w:t>increased the e</w:t>
      </w:r>
      <w:r w:rsidR="00EC02D0">
        <w:t xml:space="preserve">ffectiveness of health warnings, </w:t>
      </w:r>
      <w:r w:rsidRPr="00E12A7B">
        <w:t xml:space="preserve">grouped by stakeholder category (for those stakeholders who participated in the consultation process using the consultation protocol </w:t>
      </w:r>
      <w:r>
        <w:t>only</w:t>
      </w:r>
      <w:r w:rsidR="00EC02D0">
        <w:t>)</w:t>
      </w:r>
    </w:p>
    <w:tbl>
      <w:tblPr>
        <w:tblW w:w="4831" w:type="pct"/>
        <w:tblInd w:w="108" w:type="dxa"/>
        <w:tblLayout w:type="fixed"/>
        <w:tblCellMar>
          <w:left w:w="0" w:type="dxa"/>
          <w:right w:w="0" w:type="dxa"/>
        </w:tblCellMar>
        <w:tblLook w:val="04A0" w:firstRow="1" w:lastRow="0" w:firstColumn="1" w:lastColumn="0" w:noHBand="0" w:noVBand="1"/>
        <w:tblDescription w:val="For the various stakeholder groups, table 5 shows the frequency of stakeholder quantitative ratings for whether the measure has increased the effectiveness of health warnings on the retail packaging of tobacco products.  It has five columns.  Read across for stakeholder group, positive result (to a great extent or somewhat), negative result (not at all or very little), unsure, and no response provided.  Data is presented in the format n/m where n is the number of stakeholders giving the particular rating and m is the total number of stakeholders in the relevant stakeholder group.  Those stakeholders who did not provide a quantitative rating have been included in the denominator as some did go on to provide qualitative responses."/>
      </w:tblPr>
      <w:tblGrid>
        <w:gridCol w:w="2269"/>
        <w:gridCol w:w="1843"/>
        <w:gridCol w:w="1559"/>
        <w:gridCol w:w="1559"/>
        <w:gridCol w:w="1700"/>
      </w:tblGrid>
      <w:tr w:rsidR="00FE7970" w:rsidRPr="00FE7970" w:rsidTr="00983D2D">
        <w:trPr>
          <w:trHeight w:val="704"/>
          <w:tblHeader/>
        </w:trPr>
        <w:tc>
          <w:tcPr>
            <w:tcW w:w="1270" w:type="pct"/>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FE797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Stakeholder group</w:t>
            </w:r>
          </w:p>
        </w:tc>
        <w:tc>
          <w:tcPr>
            <w:tcW w:w="103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0B5EF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Positive result (to a great extent/ somewhat)</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0B5EF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Negative result (not at all/ very little) </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FE797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Unsure </w:t>
            </w:r>
          </w:p>
        </w:tc>
        <w:tc>
          <w:tcPr>
            <w:tcW w:w="95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FE797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No Response Provided</w:t>
            </w:r>
            <w:r w:rsidRPr="00FE7970">
              <w:rPr>
                <w:rStyle w:val="FootnoteReference"/>
                <w:rFonts w:cs="Times New Roman"/>
                <w:b/>
                <w:color w:val="000000"/>
                <w:sz w:val="18"/>
                <w:szCs w:val="18"/>
                <w:lang w:eastAsia="en-AU"/>
              </w:rPr>
              <w:footnoteReference w:customMarkFollows="1" w:id="9"/>
              <w:t>[1]</w:t>
            </w:r>
          </w:p>
        </w:tc>
      </w:tr>
      <w:tr w:rsidR="0047548A" w:rsidRPr="00FE7970" w:rsidTr="00FE7970">
        <w:trPr>
          <w:trHeight w:val="572"/>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Public Health Organisations/Experts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w:t>
            </w:r>
            <w:r w:rsidR="001C537C">
              <w:rPr>
                <w:rFonts w:cs="Times New Roman"/>
                <w:color w:val="000000"/>
                <w:sz w:val="18"/>
                <w:szCs w:val="18"/>
                <w:lang w:eastAsia="en-AU"/>
              </w:rPr>
              <w:t>20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D31FDF" w:rsidRDefault="0047548A" w:rsidP="0047548A">
            <w:pPr>
              <w:spacing w:after="0"/>
              <w:jc w:val="center"/>
              <w:rPr>
                <w:rFonts w:cs="Times New Roman"/>
                <w:color w:val="000000"/>
                <w:sz w:val="18"/>
                <w:szCs w:val="18"/>
                <w:lang w:eastAsia="en-AU"/>
              </w:rPr>
            </w:pPr>
            <w:r w:rsidRPr="00D31FDF">
              <w:rPr>
                <w:rFonts w:cs="Times New Roman"/>
                <w:color w:val="000000"/>
                <w:sz w:val="18"/>
                <w:szCs w:val="18"/>
                <w:lang w:eastAsia="en-AU"/>
              </w:rPr>
              <w:t>17</w:t>
            </w:r>
            <w:r>
              <w:rPr>
                <w:rFonts w:cs="Times New Roman"/>
                <w:color w:val="000000"/>
                <w:sz w:val="18"/>
                <w:szCs w:val="18"/>
                <w:lang w:eastAsia="en-AU"/>
              </w:rPr>
              <w:t>/</w:t>
            </w:r>
            <w:r w:rsidR="001C537C">
              <w:rPr>
                <w:rFonts w:cs="Times New Roman"/>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D31FDF" w:rsidRDefault="00554494" w:rsidP="0047548A">
            <w:pPr>
              <w:spacing w:after="0"/>
              <w:jc w:val="center"/>
              <w:rPr>
                <w:rFonts w:cs="Times New Roman"/>
                <w:color w:val="000000"/>
                <w:sz w:val="18"/>
                <w:szCs w:val="18"/>
                <w:lang w:eastAsia="en-AU"/>
              </w:rPr>
            </w:pPr>
            <w:r>
              <w:rPr>
                <w:rFonts w:cs="Times New Roman"/>
                <w:color w:val="000000"/>
                <w:sz w:val="18"/>
                <w:szCs w:val="18"/>
                <w:lang w:eastAsia="en-AU"/>
              </w:rPr>
              <w:t>0</w:t>
            </w:r>
            <w:r w:rsidR="0047548A">
              <w:rPr>
                <w:rFonts w:cs="Times New Roman"/>
                <w:color w:val="000000"/>
                <w:sz w:val="18"/>
                <w:szCs w:val="18"/>
                <w:lang w:eastAsia="en-AU"/>
              </w:rPr>
              <w:t>/</w:t>
            </w:r>
            <w:r w:rsidR="001C537C">
              <w:rPr>
                <w:rFonts w:cs="Times New Roman"/>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D31FDF"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1/</w:t>
            </w:r>
            <w:r w:rsidR="001C537C">
              <w:rPr>
                <w:rFonts w:cs="Times New Roman"/>
                <w:color w:val="000000"/>
                <w:sz w:val="18"/>
                <w:szCs w:val="18"/>
                <w:lang w:eastAsia="en-AU"/>
              </w:rPr>
              <w:t>20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D31FDF"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2/</w:t>
            </w:r>
            <w:r w:rsidR="001C537C">
              <w:rPr>
                <w:rFonts w:cs="Times New Roman"/>
                <w:color w:val="000000"/>
                <w:sz w:val="18"/>
                <w:szCs w:val="18"/>
                <w:lang w:eastAsia="en-AU"/>
              </w:rPr>
              <w:t>20</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Government Departments</w:t>
            </w:r>
          </w:p>
          <w:p w:rsidR="0047548A" w:rsidRPr="00FE7970" w:rsidRDefault="0047548A" w:rsidP="0047548A">
            <w:pPr>
              <w:spacing w:before="0" w:after="0"/>
              <w:rPr>
                <w:rFonts w:cs="Times New Roman"/>
                <w:color w:val="000000"/>
                <w:sz w:val="18"/>
                <w:szCs w:val="18"/>
                <w:lang w:eastAsia="en-AU"/>
              </w:rPr>
            </w:pPr>
            <w:r>
              <w:rPr>
                <w:rFonts w:cs="Times New Roman"/>
                <w:color w:val="000000"/>
                <w:sz w:val="18"/>
                <w:szCs w:val="18"/>
                <w:lang w:eastAsia="en-AU"/>
              </w:rPr>
              <w:t>(n=8</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7/8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0</w:t>
            </w:r>
            <w:r w:rsidR="00F55F39">
              <w:rPr>
                <w:rFonts w:cs="Times New Roman"/>
                <w:color w:val="000000"/>
                <w:sz w:val="18"/>
                <w:szCs w:val="18"/>
                <w:lang w:eastAsia="en-AU"/>
              </w:rPr>
              <w:t>/8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1/8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0</w:t>
            </w:r>
            <w:r w:rsidR="00F55F39">
              <w:rPr>
                <w:rFonts w:cs="Times New Roman"/>
                <w:color w:val="000000"/>
                <w:sz w:val="18"/>
                <w:szCs w:val="18"/>
                <w:lang w:eastAsia="en-AU"/>
              </w:rPr>
              <w:t>/8</w:t>
            </w:r>
          </w:p>
        </w:tc>
      </w:tr>
      <w:tr w:rsidR="0047548A" w:rsidRPr="00FE7970" w:rsidTr="00FE7970">
        <w:trPr>
          <w:trHeight w:val="485"/>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Non-Government Organisations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(n=14)</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6/14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sidRPr="00C02ED0">
              <w:rPr>
                <w:rFonts w:cs="Times New Roman"/>
                <w:color w:val="000000"/>
                <w:sz w:val="18"/>
                <w:szCs w:val="18"/>
                <w:lang w:eastAsia="en-AU"/>
              </w:rPr>
              <w:t>6</w:t>
            </w:r>
            <w:r>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sidRPr="00C02ED0">
              <w:rPr>
                <w:rFonts w:cs="Times New Roman"/>
                <w:color w:val="000000"/>
                <w:sz w:val="18"/>
                <w:szCs w:val="18"/>
                <w:lang w:eastAsia="en-AU"/>
              </w:rPr>
              <w:t>1</w:t>
            </w:r>
            <w:r>
              <w:rPr>
                <w:rFonts w:cs="Times New Roman"/>
                <w:color w:val="000000"/>
                <w:sz w:val="18"/>
                <w:szCs w:val="18"/>
                <w:lang w:eastAsia="en-AU"/>
              </w:rPr>
              <w:t>/14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1/14</w:t>
            </w:r>
          </w:p>
        </w:tc>
      </w:tr>
      <w:tr w:rsidR="00BC24EB"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24EB" w:rsidRPr="00FE7970" w:rsidRDefault="00BC24EB" w:rsidP="00BC24EB">
            <w:pPr>
              <w:spacing w:before="0" w:after="0"/>
              <w:rPr>
                <w:rFonts w:cs="Times New Roman"/>
                <w:color w:val="000000"/>
                <w:sz w:val="18"/>
                <w:szCs w:val="18"/>
                <w:lang w:eastAsia="en-AU"/>
              </w:rPr>
            </w:pPr>
            <w:r w:rsidRPr="00FE7970">
              <w:rPr>
                <w:rFonts w:cs="Times New Roman"/>
                <w:color w:val="000000"/>
                <w:sz w:val="18"/>
                <w:szCs w:val="18"/>
                <w:lang w:eastAsia="en-AU"/>
              </w:rPr>
              <w:t>Tobacco Companies</w:t>
            </w:r>
          </w:p>
          <w:p w:rsidR="00BC24EB" w:rsidRPr="00FE7970" w:rsidRDefault="00BC24EB" w:rsidP="00BC24EB">
            <w:pPr>
              <w:spacing w:before="0" w:after="0"/>
              <w:rPr>
                <w:rFonts w:cs="Times New Roman"/>
                <w:color w:val="000000"/>
                <w:sz w:val="18"/>
                <w:szCs w:val="18"/>
                <w:lang w:eastAsia="en-AU"/>
              </w:rPr>
            </w:pPr>
            <w:r>
              <w:rPr>
                <w:rFonts w:cs="Times New Roman"/>
                <w:color w:val="000000"/>
                <w:sz w:val="18"/>
                <w:szCs w:val="18"/>
                <w:lang w:eastAsia="en-AU"/>
              </w:rPr>
              <w:t>(n=3</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0</w:t>
            </w:r>
            <w:r w:rsidR="00307E24">
              <w:rPr>
                <w:rFonts w:cs="Times New Roman"/>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0</w:t>
            </w:r>
            <w:r w:rsidR="00307E24">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1/3</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Tobacco Wholesalers/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Importers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(n=3)</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1/3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0</w:t>
            </w:r>
            <w:r w:rsidR="00307E24">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0</w:t>
            </w:r>
            <w:r w:rsidR="00307E24">
              <w:rPr>
                <w:rFonts w:cs="Times New Roman"/>
                <w:color w:val="000000"/>
                <w:sz w:val="18"/>
                <w:szCs w:val="18"/>
                <w:lang w:eastAsia="en-AU"/>
              </w:rPr>
              <w:t>/3</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Tobacco Retailers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(n=68)</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8/68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57/68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2/68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1/68</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Consumers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(n=412)</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28/412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375/412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8/412</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1/412</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Other</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w:t>
            </w:r>
            <w:r w:rsidR="001C537C">
              <w:rPr>
                <w:rFonts w:cs="Times New Roman"/>
                <w:color w:val="000000"/>
                <w:sz w:val="18"/>
                <w:szCs w:val="18"/>
                <w:lang w:eastAsia="en-AU"/>
              </w:rPr>
              <w:t>14</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sidRPr="00C02ED0">
              <w:rPr>
                <w:rFonts w:cs="Times New Roman"/>
                <w:color w:val="000000"/>
                <w:sz w:val="18"/>
                <w:szCs w:val="18"/>
                <w:lang w:eastAsia="en-AU"/>
              </w:rPr>
              <w:t>0</w:t>
            </w:r>
            <w:r w:rsidR="00281C82">
              <w:rPr>
                <w:rFonts w:cs="Times New Roman"/>
                <w:color w:val="000000"/>
                <w:sz w:val="18"/>
                <w:szCs w:val="18"/>
                <w:lang w:eastAsia="en-AU"/>
              </w:rPr>
              <w:t>/</w:t>
            </w:r>
            <w:r w:rsidR="001C537C">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554494" w:rsidP="0047548A">
            <w:pPr>
              <w:spacing w:after="0"/>
              <w:jc w:val="center"/>
              <w:rPr>
                <w:rFonts w:cs="Times New Roman"/>
                <w:color w:val="000000"/>
                <w:sz w:val="18"/>
                <w:szCs w:val="18"/>
                <w:lang w:eastAsia="en-AU"/>
              </w:rPr>
            </w:pPr>
            <w:r>
              <w:rPr>
                <w:rFonts w:cs="Times New Roman"/>
                <w:color w:val="000000"/>
                <w:sz w:val="18"/>
                <w:szCs w:val="18"/>
                <w:lang w:eastAsia="en-AU"/>
              </w:rPr>
              <w:t>12</w:t>
            </w:r>
            <w:r w:rsidR="0047548A">
              <w:rPr>
                <w:rFonts w:cs="Times New Roman"/>
                <w:color w:val="000000"/>
                <w:sz w:val="18"/>
                <w:szCs w:val="18"/>
                <w:lang w:eastAsia="en-AU"/>
              </w:rPr>
              <w:t>/</w:t>
            </w:r>
            <w:r w:rsidR="001C537C">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906901" w:rsidP="0047548A">
            <w:pPr>
              <w:spacing w:after="0"/>
              <w:jc w:val="center"/>
              <w:rPr>
                <w:rFonts w:cs="Times New Roman"/>
                <w:color w:val="000000"/>
                <w:sz w:val="18"/>
                <w:szCs w:val="18"/>
                <w:lang w:eastAsia="en-AU"/>
              </w:rPr>
            </w:pPr>
            <w:r>
              <w:rPr>
                <w:rFonts w:cs="Times New Roman"/>
                <w:color w:val="000000"/>
                <w:sz w:val="18"/>
                <w:szCs w:val="18"/>
                <w:lang w:eastAsia="en-AU"/>
              </w:rPr>
              <w:t>2</w:t>
            </w:r>
            <w:r w:rsidR="0047548A">
              <w:rPr>
                <w:rFonts w:cs="Times New Roman"/>
                <w:color w:val="000000"/>
                <w:sz w:val="18"/>
                <w:szCs w:val="18"/>
                <w:lang w:eastAsia="en-AU"/>
              </w:rPr>
              <w:t>/</w:t>
            </w:r>
            <w:r w:rsidR="001C537C">
              <w:rPr>
                <w:rFonts w:cs="Times New Roman"/>
                <w:color w:val="000000"/>
                <w:sz w:val="18"/>
                <w:szCs w:val="18"/>
                <w:lang w:eastAsia="en-AU"/>
              </w:rPr>
              <w:t>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0</w:t>
            </w:r>
            <w:r w:rsidR="00281C82">
              <w:rPr>
                <w:rFonts w:cs="Times New Roman"/>
                <w:color w:val="000000"/>
                <w:sz w:val="18"/>
                <w:szCs w:val="18"/>
                <w:lang w:eastAsia="en-AU"/>
              </w:rPr>
              <w:t>/</w:t>
            </w:r>
            <w:r w:rsidR="001C537C">
              <w:rPr>
                <w:rFonts w:cs="Times New Roman"/>
                <w:color w:val="000000"/>
                <w:sz w:val="18"/>
                <w:szCs w:val="18"/>
                <w:lang w:eastAsia="en-AU"/>
              </w:rPr>
              <w:t>14</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Unspecified</w:t>
            </w:r>
          </w:p>
          <w:p w:rsidR="0047548A" w:rsidRPr="00FE7970" w:rsidRDefault="0047548A" w:rsidP="0047548A">
            <w:pPr>
              <w:spacing w:before="0" w:after="0"/>
              <w:rPr>
                <w:rFonts w:cs="Times New Roman"/>
                <w:color w:val="000000"/>
                <w:sz w:val="18"/>
                <w:szCs w:val="18"/>
                <w:lang w:eastAsia="en-AU"/>
              </w:rPr>
            </w:pPr>
            <w:r>
              <w:rPr>
                <w:rFonts w:cs="Times New Roman"/>
                <w:color w:val="000000"/>
                <w:sz w:val="18"/>
                <w:szCs w:val="18"/>
                <w:lang w:eastAsia="en-AU"/>
              </w:rPr>
              <w:t>(n= 10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1/10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9/10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0</w:t>
            </w:r>
            <w:r w:rsidR="002A16A7">
              <w:rPr>
                <w:rFonts w:cs="Times New Roman"/>
                <w:color w:val="000000"/>
                <w:sz w:val="18"/>
                <w:szCs w:val="18"/>
                <w:lang w:eastAsia="en-AU"/>
              </w:rPr>
              <w:t>/10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2ED0"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0</w:t>
            </w:r>
            <w:r w:rsidR="002A16A7">
              <w:rPr>
                <w:rFonts w:cs="Times New Roman"/>
                <w:color w:val="000000"/>
                <w:sz w:val="18"/>
                <w:szCs w:val="18"/>
                <w:lang w:eastAsia="en-AU"/>
              </w:rPr>
              <w:t>/10</w:t>
            </w:r>
          </w:p>
        </w:tc>
      </w:tr>
    </w:tbl>
    <w:p w:rsidR="009F584C" w:rsidRDefault="009F584C" w:rsidP="009F584C">
      <w:pPr>
        <w:pStyle w:val="Heading4"/>
      </w:pPr>
      <w:r w:rsidRPr="0044799A">
        <w:t xml:space="preserve">Qualitative </w:t>
      </w:r>
      <w:r w:rsidR="00951DE1">
        <w:t>responses</w:t>
      </w:r>
    </w:p>
    <w:p w:rsidR="001B7DFB" w:rsidRPr="008D3757" w:rsidRDefault="001B7DFB" w:rsidP="00EC02D0">
      <w:pPr>
        <w:pStyle w:val="Bullet"/>
        <w:numPr>
          <w:ilvl w:val="0"/>
          <w:numId w:val="0"/>
        </w:numPr>
      </w:pPr>
      <w:r>
        <w:t>Qualitative responses (those that aligned with the consultation protocol and those that did not align with the consultation protocol) from all organisations and individual stakeholders were</w:t>
      </w:r>
      <w:r w:rsidRPr="0044799A">
        <w:t xml:space="preserve"> analysed and then </w:t>
      </w:r>
      <w:r>
        <w:t xml:space="preserve">presented below </w:t>
      </w:r>
      <w:r w:rsidRPr="008D3757">
        <w:t>according to</w:t>
      </w:r>
      <w:r>
        <w:t xml:space="preserve"> themes. </w:t>
      </w:r>
      <w:r w:rsidRPr="008D3757">
        <w:t>These themes include:</w:t>
      </w:r>
    </w:p>
    <w:p w:rsidR="008D3757" w:rsidRPr="008D3757" w:rsidRDefault="008C28AF" w:rsidP="00EC02D0">
      <w:pPr>
        <w:pStyle w:val="Bullet"/>
      </w:pPr>
      <w:r>
        <w:t>S</w:t>
      </w:r>
      <w:r w:rsidR="008D3757" w:rsidRPr="008D3757">
        <w:t>alience of health warnings</w:t>
      </w:r>
      <w:r w:rsidR="005A7B6A">
        <w:t>; and</w:t>
      </w:r>
    </w:p>
    <w:p w:rsidR="008D3757" w:rsidRPr="008D3757" w:rsidRDefault="008C28AF" w:rsidP="00EC02D0">
      <w:pPr>
        <w:pStyle w:val="Bullet"/>
      </w:pPr>
      <w:proofErr w:type="gramStart"/>
      <w:r>
        <w:lastRenderedPageBreak/>
        <w:t>C</w:t>
      </w:r>
      <w:r w:rsidR="008D3757" w:rsidRPr="008D3757">
        <w:t>hanges</w:t>
      </w:r>
      <w:r w:rsidR="00951DE1">
        <w:t xml:space="preserve"> in people’s</w:t>
      </w:r>
      <w:proofErr w:type="gramEnd"/>
      <w:r w:rsidR="00951DE1">
        <w:t xml:space="preserve"> smoking behaviour.</w:t>
      </w:r>
    </w:p>
    <w:p w:rsidR="00BD4340" w:rsidRDefault="00BD4340" w:rsidP="00976F59">
      <w:pPr>
        <w:pStyle w:val="Heading5"/>
      </w:pPr>
      <w:bookmarkStart w:id="71" w:name="_Toc419889567"/>
      <w:bookmarkStart w:id="72" w:name="_Toc422478373"/>
      <w:bookmarkStart w:id="73" w:name="_Toc418420305"/>
      <w:bookmarkStart w:id="74" w:name="_Toc418770488"/>
      <w:r w:rsidRPr="002F5583">
        <w:t>Salience of health warnings</w:t>
      </w:r>
      <w:bookmarkEnd w:id="71"/>
      <w:bookmarkEnd w:id="72"/>
    </w:p>
    <w:p w:rsidR="0067620E" w:rsidRDefault="004B019D" w:rsidP="00BD4340">
      <w:pPr>
        <w:rPr>
          <w:szCs w:val="20"/>
        </w:rPr>
      </w:pPr>
      <w:r>
        <w:rPr>
          <w:szCs w:val="20"/>
        </w:rPr>
        <w:t>P</w:t>
      </w:r>
      <w:r w:rsidR="00BD4340" w:rsidRPr="000203AA">
        <w:rPr>
          <w:szCs w:val="20"/>
        </w:rPr>
        <w:t>ublic health org</w:t>
      </w:r>
      <w:r w:rsidR="00225995">
        <w:rPr>
          <w:szCs w:val="20"/>
        </w:rPr>
        <w:t>anisation and expert stakeholder/s, government department stakeholder/s</w:t>
      </w:r>
      <w:r w:rsidR="00BD4340" w:rsidRPr="000203AA">
        <w:rPr>
          <w:szCs w:val="20"/>
        </w:rPr>
        <w:t xml:space="preserve"> and </w:t>
      </w:r>
      <w:r w:rsidR="00BD4340">
        <w:rPr>
          <w:szCs w:val="20"/>
        </w:rPr>
        <w:t>health related</w:t>
      </w:r>
      <w:r w:rsidR="00225995">
        <w:rPr>
          <w:szCs w:val="20"/>
        </w:rPr>
        <w:t xml:space="preserve"> NGO stakeholder/s</w:t>
      </w:r>
      <w:r w:rsidR="00BD4340" w:rsidRPr="000203AA">
        <w:rPr>
          <w:szCs w:val="20"/>
        </w:rPr>
        <w:t xml:space="preserve"> </w:t>
      </w:r>
      <w:r w:rsidR="003276AC">
        <w:rPr>
          <w:szCs w:val="20"/>
        </w:rPr>
        <w:t xml:space="preserve">who gave positive ratings (or in two cases did not provide a quantitative rating) </w:t>
      </w:r>
      <w:r w:rsidR="00BD4340">
        <w:rPr>
          <w:szCs w:val="20"/>
        </w:rPr>
        <w:t>cited</w:t>
      </w:r>
      <w:r w:rsidR="00BD4340" w:rsidRPr="000203AA">
        <w:rPr>
          <w:szCs w:val="20"/>
        </w:rPr>
        <w:t xml:space="preserve"> </w:t>
      </w:r>
      <w:r w:rsidR="00C92C4D">
        <w:rPr>
          <w:szCs w:val="20"/>
        </w:rPr>
        <w:t xml:space="preserve">the following </w:t>
      </w:r>
      <w:r w:rsidR="00BD4340">
        <w:rPr>
          <w:szCs w:val="20"/>
        </w:rPr>
        <w:t xml:space="preserve">peer reviewed </w:t>
      </w:r>
      <w:r w:rsidR="00BF5DEF">
        <w:rPr>
          <w:szCs w:val="20"/>
        </w:rPr>
        <w:t>sources</w:t>
      </w:r>
      <w:r w:rsidR="00BD4340" w:rsidRPr="000203AA">
        <w:rPr>
          <w:szCs w:val="20"/>
        </w:rPr>
        <w:t xml:space="preserve"> which suggest that</w:t>
      </w:r>
      <w:r w:rsidR="004F1DD1">
        <w:rPr>
          <w:szCs w:val="20"/>
        </w:rPr>
        <w:t xml:space="preserve"> after the introduction of the measure</w:t>
      </w:r>
      <w:r w:rsidR="0067620E">
        <w:rPr>
          <w:szCs w:val="20"/>
        </w:rPr>
        <w:t>:</w:t>
      </w:r>
    </w:p>
    <w:p w:rsidR="00093BA8" w:rsidRDefault="00093BA8" w:rsidP="00EC02D0">
      <w:pPr>
        <w:pStyle w:val="Bullet"/>
      </w:pPr>
      <w:r>
        <w:t xml:space="preserve">Dunlop et al, 2014; Yong et al, 2015; Wakefield et al, 2015; and Miller et al, 2015, peer reviewed articles, which were cited as </w:t>
      </w:r>
      <w:r w:rsidR="00BA4C02">
        <w:t>showing</w:t>
      </w:r>
      <w:r>
        <w:t xml:space="preserve"> that h</w:t>
      </w:r>
      <w:r w:rsidRPr="00F335FE">
        <w:t>ealth warnings were considered</w:t>
      </w:r>
      <w:r>
        <w:t xml:space="preserve"> to be</w:t>
      </w:r>
      <w:r w:rsidRPr="00F335FE">
        <w:t xml:space="preserve"> more prominent by smokers</w:t>
      </w:r>
      <w:r w:rsidR="008C28AF">
        <w:t>;</w:t>
      </w:r>
    </w:p>
    <w:p w:rsidR="00093BA8" w:rsidRPr="00F335FE" w:rsidRDefault="00093BA8" w:rsidP="00EC02D0">
      <w:pPr>
        <w:pStyle w:val="Bullet"/>
      </w:pPr>
      <w:r>
        <w:t xml:space="preserve">Dunlop et al, 2014; Yong et al, 2015; and Wakefield et al, 2015, peer reviewed articles, which were cited as </w:t>
      </w:r>
      <w:r w:rsidR="00BA4C02">
        <w:t>showing</w:t>
      </w:r>
      <w:r>
        <w:t xml:space="preserve"> that m</w:t>
      </w:r>
      <w:r w:rsidRPr="00F335FE">
        <w:t xml:space="preserve">ore salient health warnings </w:t>
      </w:r>
      <w:r>
        <w:t>prompted smokers to think more</w:t>
      </w:r>
      <w:r w:rsidRPr="00F335FE">
        <w:t xml:space="preserve"> </w:t>
      </w:r>
      <w:r>
        <w:t>about the risks of smoking (</w:t>
      </w:r>
      <w:r w:rsidRPr="00F335FE">
        <w:t xml:space="preserve">a reaction which </w:t>
      </w:r>
      <w:r>
        <w:t xml:space="preserve">is seen to be </w:t>
      </w:r>
      <w:r w:rsidRPr="00F335FE">
        <w:t>related to increased quit attempts</w:t>
      </w:r>
      <w:r>
        <w:t>)</w:t>
      </w:r>
      <w:r w:rsidR="008C28AF">
        <w:t>; and</w:t>
      </w:r>
    </w:p>
    <w:p w:rsidR="00093BA8" w:rsidRPr="00093BA8" w:rsidRDefault="00093BA8" w:rsidP="00EC02D0">
      <w:pPr>
        <w:pStyle w:val="Bullet"/>
        <w:rPr>
          <w:szCs w:val="20"/>
        </w:rPr>
      </w:pPr>
      <w:r>
        <w:t xml:space="preserve">Dunlop et al, 2014; Wakefield et al, 2015; and Miller et al, 2015, peer reviewed articles, which were cited as </w:t>
      </w:r>
      <w:r w:rsidR="00BA4C02">
        <w:t>showing</w:t>
      </w:r>
      <w:r>
        <w:t xml:space="preserve"> that </w:t>
      </w:r>
      <w:r w:rsidRPr="000510F9">
        <w:rPr>
          <w:bCs/>
        </w:rPr>
        <w:t>smokers avoided specific health warnings when purchasing packs and were more likely to cover or hide their tobacco packs</w:t>
      </w:r>
      <w:r w:rsidR="008C28AF">
        <w:rPr>
          <w:bCs/>
        </w:rPr>
        <w:t>.</w:t>
      </w:r>
    </w:p>
    <w:p w:rsidR="0067620E" w:rsidRDefault="006626B3" w:rsidP="00BD4340">
      <w:pPr>
        <w:rPr>
          <w:szCs w:val="20"/>
        </w:rPr>
      </w:pPr>
      <w:r>
        <w:rPr>
          <w:color w:val="000000"/>
          <w:szCs w:val="20"/>
          <w:lang w:eastAsia="en-AU"/>
        </w:rPr>
        <w:t>During the consultations</w:t>
      </w:r>
      <w:r w:rsidR="00327AD4">
        <w:rPr>
          <w:color w:val="000000"/>
          <w:szCs w:val="20"/>
          <w:lang w:eastAsia="en-AU"/>
        </w:rPr>
        <w:t xml:space="preserve">, one government </w:t>
      </w:r>
      <w:r w:rsidR="00B214ED">
        <w:rPr>
          <w:color w:val="000000"/>
          <w:szCs w:val="20"/>
          <w:lang w:eastAsia="en-AU"/>
        </w:rPr>
        <w:t>department</w:t>
      </w:r>
      <w:r w:rsidR="00225995">
        <w:rPr>
          <w:color w:val="000000"/>
          <w:szCs w:val="20"/>
          <w:lang w:eastAsia="en-AU"/>
        </w:rPr>
        <w:t xml:space="preserve"> </w:t>
      </w:r>
      <w:r w:rsidR="003A527D">
        <w:rPr>
          <w:szCs w:val="20"/>
        </w:rPr>
        <w:t>stakeholder</w:t>
      </w:r>
      <w:r w:rsidR="00B214ED">
        <w:rPr>
          <w:color w:val="000000"/>
          <w:szCs w:val="20"/>
          <w:lang w:eastAsia="en-AU"/>
        </w:rPr>
        <w:t xml:space="preserve"> described</w:t>
      </w:r>
      <w:r>
        <w:rPr>
          <w:color w:val="000000"/>
          <w:szCs w:val="20"/>
          <w:lang w:eastAsia="en-AU"/>
        </w:rPr>
        <w:t xml:space="preserve"> </w:t>
      </w:r>
      <w:r w:rsidR="007D0695">
        <w:rPr>
          <w:color w:val="000000"/>
          <w:szCs w:val="20"/>
          <w:lang w:eastAsia="en-AU"/>
        </w:rPr>
        <w:t>receiving</w:t>
      </w:r>
      <w:r w:rsidR="00327AD4">
        <w:rPr>
          <w:color w:val="000000"/>
          <w:szCs w:val="20"/>
          <w:lang w:eastAsia="en-AU"/>
        </w:rPr>
        <w:t xml:space="preserve"> complaints </w:t>
      </w:r>
      <w:r w:rsidR="0009729E">
        <w:rPr>
          <w:color w:val="000000"/>
          <w:szCs w:val="20"/>
          <w:lang w:eastAsia="en-AU"/>
        </w:rPr>
        <w:t xml:space="preserve">from consumers requesting the removal of </w:t>
      </w:r>
      <w:r w:rsidR="00BE2397">
        <w:rPr>
          <w:color w:val="000000"/>
          <w:szCs w:val="20"/>
          <w:lang w:eastAsia="en-AU"/>
        </w:rPr>
        <w:t>GHWs</w:t>
      </w:r>
      <w:r w:rsidR="0009729E">
        <w:rPr>
          <w:color w:val="000000"/>
          <w:szCs w:val="20"/>
          <w:lang w:eastAsia="en-AU"/>
        </w:rPr>
        <w:t xml:space="preserve">, as </w:t>
      </w:r>
      <w:r w:rsidR="00261638">
        <w:rPr>
          <w:color w:val="000000"/>
          <w:szCs w:val="20"/>
          <w:lang w:eastAsia="en-AU"/>
        </w:rPr>
        <w:t>they did</w:t>
      </w:r>
      <w:r w:rsidR="00327AD4">
        <w:rPr>
          <w:color w:val="000000"/>
          <w:szCs w:val="20"/>
          <w:lang w:eastAsia="en-AU"/>
        </w:rPr>
        <w:t xml:space="preserve"> not want to look at them whil</w:t>
      </w:r>
      <w:r>
        <w:rPr>
          <w:color w:val="000000"/>
          <w:szCs w:val="20"/>
          <w:lang w:eastAsia="en-AU"/>
        </w:rPr>
        <w:t>st</w:t>
      </w:r>
      <w:r w:rsidR="00327AD4">
        <w:rPr>
          <w:color w:val="000000"/>
          <w:szCs w:val="20"/>
          <w:lang w:eastAsia="en-AU"/>
        </w:rPr>
        <w:t xml:space="preserve"> they smoke</w:t>
      </w:r>
      <w:r>
        <w:rPr>
          <w:color w:val="000000"/>
          <w:szCs w:val="20"/>
          <w:lang w:eastAsia="en-AU"/>
        </w:rPr>
        <w:t>d</w:t>
      </w:r>
      <w:r w:rsidR="00231708">
        <w:rPr>
          <w:color w:val="000000"/>
          <w:szCs w:val="20"/>
          <w:lang w:eastAsia="en-AU"/>
        </w:rPr>
        <w:t>.</w:t>
      </w:r>
    </w:p>
    <w:p w:rsidR="00327AD4" w:rsidRPr="00D47ED4" w:rsidRDefault="00A1192E" w:rsidP="00327AD4">
      <w:pPr>
        <w:rPr>
          <w:szCs w:val="20"/>
        </w:rPr>
      </w:pPr>
      <w:r>
        <w:t>T</w:t>
      </w:r>
      <w:r w:rsidR="00D47ED4" w:rsidRPr="00C42AFA">
        <w:t>obacco comp</w:t>
      </w:r>
      <w:r w:rsidR="00225995">
        <w:t xml:space="preserve">any </w:t>
      </w:r>
      <w:r w:rsidR="00225995">
        <w:rPr>
          <w:szCs w:val="20"/>
        </w:rPr>
        <w:t>stakeholder/s</w:t>
      </w:r>
      <w:r w:rsidR="00D47ED4" w:rsidRPr="00C42AFA">
        <w:t xml:space="preserve">, retailers, </w:t>
      </w:r>
      <w:r w:rsidR="006242A0">
        <w:t xml:space="preserve">tobacco </w:t>
      </w:r>
      <w:r w:rsidR="00D47ED4" w:rsidRPr="00C42AFA">
        <w:t xml:space="preserve">wholesalers and importers, </w:t>
      </w:r>
      <w:r w:rsidR="00D47ED4">
        <w:t>tobacco packaging manufa</w:t>
      </w:r>
      <w:r w:rsidR="00225995">
        <w:t xml:space="preserve">cturers, non-health related NGO </w:t>
      </w:r>
      <w:r w:rsidR="00225995">
        <w:rPr>
          <w:szCs w:val="20"/>
        </w:rPr>
        <w:t>stakeholder/s</w:t>
      </w:r>
      <w:r w:rsidR="00D47ED4">
        <w:t xml:space="preserve"> </w:t>
      </w:r>
      <w:r w:rsidR="00D47ED4" w:rsidRPr="00C42AFA">
        <w:t xml:space="preserve">and </w:t>
      </w:r>
      <w:r>
        <w:t>consumers</w:t>
      </w:r>
      <w:r w:rsidR="006242A0">
        <w:t xml:space="preserve"> </w:t>
      </w:r>
      <w:r w:rsidR="00B63FCA">
        <w:t xml:space="preserve">who </w:t>
      </w:r>
      <w:r>
        <w:t xml:space="preserve">provided negative ratings </w:t>
      </w:r>
      <w:r w:rsidR="00D47ED4">
        <w:t>believe</w:t>
      </w:r>
      <w:r w:rsidR="00327AD4">
        <w:t xml:space="preserve"> that the measure had</w:t>
      </w:r>
      <w:r w:rsidR="00D47ED4">
        <w:t xml:space="preserve"> some</w:t>
      </w:r>
      <w:r w:rsidR="00327AD4">
        <w:t xml:space="preserve"> initial impact on smokers as demonstrated through:</w:t>
      </w:r>
    </w:p>
    <w:p w:rsidR="00327AD4" w:rsidRDefault="008C28AF" w:rsidP="00EC02D0">
      <w:pPr>
        <w:pStyle w:val="Bullet"/>
      </w:pPr>
      <w:r>
        <w:t>C</w:t>
      </w:r>
      <w:r w:rsidR="00327AD4">
        <w:t xml:space="preserve">onsumers </w:t>
      </w:r>
      <w:r w:rsidR="00327AD4" w:rsidRPr="001B4DE9">
        <w:t xml:space="preserve">requesting/avoiding </w:t>
      </w:r>
      <w:r w:rsidR="00327AD4">
        <w:t xml:space="preserve">particular </w:t>
      </w:r>
      <w:r w:rsidR="00BE2397">
        <w:t>GHWs</w:t>
      </w:r>
      <w:r w:rsidR="00327AD4">
        <w:t xml:space="preserve"> when purchasing tobacco</w:t>
      </w:r>
      <w:r w:rsidR="0065569F">
        <w:t xml:space="preserve"> products</w:t>
      </w:r>
      <w:r w:rsidR="008F5A08">
        <w:t>; and</w:t>
      </w:r>
    </w:p>
    <w:p w:rsidR="00327AD4" w:rsidRPr="000203AA" w:rsidRDefault="008C28AF" w:rsidP="00EC02D0">
      <w:pPr>
        <w:pStyle w:val="Bullet"/>
        <w:rPr>
          <w:szCs w:val="20"/>
        </w:rPr>
      </w:pPr>
      <w:r>
        <w:rPr>
          <w:szCs w:val="20"/>
        </w:rPr>
        <w:t>C</w:t>
      </w:r>
      <w:r w:rsidR="00327AD4" w:rsidRPr="000203AA">
        <w:rPr>
          <w:szCs w:val="20"/>
        </w:rPr>
        <w:t>onsumers decanting cigarettes from packets and/or hiding their packets to avoid</w:t>
      </w:r>
      <w:r w:rsidR="00B63FCA">
        <w:rPr>
          <w:szCs w:val="20"/>
        </w:rPr>
        <w:t xml:space="preserve"> the </w:t>
      </w:r>
      <w:r w:rsidR="00BE2397">
        <w:rPr>
          <w:szCs w:val="20"/>
        </w:rPr>
        <w:t>GHWs</w:t>
      </w:r>
      <w:r w:rsidR="00951DE1">
        <w:rPr>
          <w:szCs w:val="20"/>
        </w:rPr>
        <w:t>.</w:t>
      </w:r>
    </w:p>
    <w:p w:rsidR="00BA0AEA" w:rsidRPr="006E1CC3" w:rsidRDefault="00D30B7D" w:rsidP="006F78D4">
      <w:pPr>
        <w:rPr>
          <w:szCs w:val="20"/>
        </w:rPr>
      </w:pPr>
      <w:r>
        <w:t xml:space="preserve">However, stakeholders </w:t>
      </w:r>
      <w:r w:rsidR="006F78D4" w:rsidRPr="00C42AFA">
        <w:t>f</w:t>
      </w:r>
      <w:r w:rsidR="00BA0AEA">
        <w:t>rom these groups</w:t>
      </w:r>
      <w:r w:rsidR="006F2C6D">
        <w:t xml:space="preserve">, </w:t>
      </w:r>
      <w:r w:rsidR="008B7F4B">
        <w:t xml:space="preserve">and </w:t>
      </w:r>
      <w:r w:rsidR="00F60B86">
        <w:t xml:space="preserve">also from </w:t>
      </w:r>
      <w:r w:rsidR="006F2C6D">
        <w:t>‘unspecified’ and ‘other’ categories</w:t>
      </w:r>
      <w:r w:rsidR="00BA0AEA">
        <w:t>:</w:t>
      </w:r>
    </w:p>
    <w:p w:rsidR="00F60B86" w:rsidRDefault="008C28AF" w:rsidP="00EC02D0">
      <w:pPr>
        <w:pStyle w:val="Bullet"/>
      </w:pPr>
      <w:r>
        <w:t>T</w:t>
      </w:r>
      <w:r w:rsidR="00F60B86">
        <w:t xml:space="preserve">hink that because </w:t>
      </w:r>
      <w:r w:rsidR="00F60B86" w:rsidRPr="00C42AFA">
        <w:t xml:space="preserve">consumers </w:t>
      </w:r>
      <w:r w:rsidR="00F60B86">
        <w:t>were</w:t>
      </w:r>
      <w:r w:rsidR="00F60B86" w:rsidRPr="00C42AFA">
        <w:t xml:space="preserve"> </w:t>
      </w:r>
      <w:r w:rsidR="00F60B86">
        <w:t xml:space="preserve">already </w:t>
      </w:r>
      <w:r w:rsidR="00F60B86" w:rsidRPr="00C42AFA">
        <w:t xml:space="preserve">exposed to health warnings prior to the </w:t>
      </w:r>
      <w:r w:rsidR="00F60B86">
        <w:t xml:space="preserve">tobacco plain packaging </w:t>
      </w:r>
      <w:r w:rsidR="00F60B86" w:rsidRPr="00C42AFA">
        <w:t xml:space="preserve">measure </w:t>
      </w:r>
      <w:r w:rsidR="00F60B86">
        <w:t>they</w:t>
      </w:r>
      <w:r w:rsidR="00F60B86" w:rsidRPr="00C42AFA">
        <w:t xml:space="preserve"> have had significa</w:t>
      </w:r>
      <w:r w:rsidR="00F60B86">
        <w:t>nt time to become desensitised to warnings and therefore they are no longer affected</w:t>
      </w:r>
      <w:r>
        <w:t>; and</w:t>
      </w:r>
    </w:p>
    <w:p w:rsidR="006F78D4" w:rsidRDefault="008C28AF" w:rsidP="00EC02D0">
      <w:pPr>
        <w:pStyle w:val="Bullet"/>
      </w:pPr>
      <w:r>
        <w:t>Q</w:t>
      </w:r>
      <w:r w:rsidR="006F78D4" w:rsidRPr="00C42AFA">
        <w:t>uestion</w:t>
      </w:r>
      <w:r w:rsidR="006F78D4">
        <w:t>ed</w:t>
      </w:r>
      <w:r w:rsidR="006F78D4" w:rsidRPr="00C42AFA">
        <w:t xml:space="preserve"> whether increasing the </w:t>
      </w:r>
      <w:r w:rsidR="006F78D4">
        <w:t>s</w:t>
      </w:r>
      <w:r w:rsidR="006F78D4" w:rsidRPr="00C42AFA">
        <w:t xml:space="preserve">alience of health warnings on tobacco products would </w:t>
      </w:r>
      <w:r w:rsidR="006F78D4">
        <w:t>deter people from smoking,</w:t>
      </w:r>
      <w:r w:rsidR="006F78D4" w:rsidRPr="00C42AFA">
        <w:t xml:space="preserve"> </w:t>
      </w:r>
      <w:r w:rsidR="00B63FCA">
        <w:t xml:space="preserve">and </w:t>
      </w:r>
      <w:r w:rsidR="00FB21DC">
        <w:t>believe</w:t>
      </w:r>
      <w:r w:rsidR="00B63FCA">
        <w:t xml:space="preserve"> that </w:t>
      </w:r>
      <w:r w:rsidR="006F78D4">
        <w:t xml:space="preserve">given </w:t>
      </w:r>
      <w:r w:rsidR="006F78D4" w:rsidRPr="006F78D4">
        <w:t>that the health risks associated with smoking are universally know</w:t>
      </w:r>
      <w:r w:rsidR="00BA0AEA">
        <w:t>n and have been for a long time</w:t>
      </w:r>
      <w:r w:rsidR="0039736F">
        <w:t xml:space="preserve"> </w:t>
      </w:r>
      <w:r w:rsidR="0039736F" w:rsidRPr="0039736F">
        <w:t xml:space="preserve">there is no reason to suggest that tobacco plain packaging and larger </w:t>
      </w:r>
      <w:r w:rsidR="00BE2397">
        <w:t>GHWs</w:t>
      </w:r>
      <w:r w:rsidR="0039736F" w:rsidRPr="0039736F">
        <w:t xml:space="preserve"> would deter people from smoking</w:t>
      </w:r>
      <w:r w:rsidR="00F60B86">
        <w:t>.</w:t>
      </w:r>
    </w:p>
    <w:p w:rsidR="00251D7D" w:rsidRDefault="006F1F83" w:rsidP="007F7A40">
      <w:pPr>
        <w:spacing w:before="60" w:after="60"/>
        <w:rPr>
          <w:rFonts w:eastAsia="Calibri"/>
        </w:rPr>
      </w:pPr>
      <w:r w:rsidRPr="00C42AFA">
        <w:t xml:space="preserve">Some of the </w:t>
      </w:r>
      <w:r w:rsidR="00D30B7D">
        <w:t xml:space="preserve">tobacco </w:t>
      </w:r>
      <w:r w:rsidRPr="00C42AFA">
        <w:t xml:space="preserve">industry </w:t>
      </w:r>
      <w:r w:rsidR="00B563F2">
        <w:t xml:space="preserve">who provided negative responses </w:t>
      </w:r>
      <w:r>
        <w:t>referred to sources which they believe suggest</w:t>
      </w:r>
      <w:r w:rsidRPr="00C42AFA">
        <w:t xml:space="preserve"> that</w:t>
      </w:r>
      <w:r>
        <w:t xml:space="preserve"> health warnings on tobacco plain pa</w:t>
      </w:r>
      <w:r w:rsidR="00406CF7">
        <w:t>ckaging do not influence smoker</w:t>
      </w:r>
      <w:r>
        <w:t>s</w:t>
      </w:r>
      <w:r w:rsidR="00406CF7">
        <w:t>’ decision</w:t>
      </w:r>
      <w:r>
        <w:t xml:space="preserve"> to quit and, that </w:t>
      </w:r>
      <w:r w:rsidRPr="00BA0AEA">
        <w:rPr>
          <w:rFonts w:eastAsia="Calibri"/>
        </w:rPr>
        <w:t xml:space="preserve">even if </w:t>
      </w:r>
      <w:r>
        <w:rPr>
          <w:rFonts w:eastAsia="Calibri"/>
        </w:rPr>
        <w:t xml:space="preserve">tobacco plain packaging </w:t>
      </w:r>
      <w:r w:rsidRPr="00BA0AEA">
        <w:rPr>
          <w:rFonts w:eastAsia="Calibri"/>
        </w:rPr>
        <w:t>was shown to increase the salience of health warnings, this would have no influence on</w:t>
      </w:r>
      <w:r>
        <w:rPr>
          <w:rFonts w:eastAsia="Calibri"/>
        </w:rPr>
        <w:t xml:space="preserve"> people’s</w:t>
      </w:r>
      <w:r w:rsidRPr="00BA0AEA">
        <w:rPr>
          <w:rFonts w:eastAsia="Calibri"/>
        </w:rPr>
        <w:t xml:space="preserve"> experimentation with, or use of, tobacco products. </w:t>
      </w:r>
      <w:r w:rsidR="00A37669">
        <w:rPr>
          <w:rFonts w:eastAsia="Calibri"/>
        </w:rPr>
        <w:t>For example</w:t>
      </w:r>
      <w:r w:rsidR="001E24E1">
        <w:rPr>
          <w:rFonts w:eastAsia="Calibri"/>
        </w:rPr>
        <w:t xml:space="preserve"> they noted that</w:t>
      </w:r>
      <w:r w:rsidR="00A37669">
        <w:rPr>
          <w:rFonts w:eastAsia="Calibri"/>
        </w:rPr>
        <w:t>:</w:t>
      </w:r>
    </w:p>
    <w:p w:rsidR="000A5C23" w:rsidRPr="000A5C23" w:rsidRDefault="00EF023B" w:rsidP="00EC02D0">
      <w:pPr>
        <w:pStyle w:val="Bullet"/>
      </w:pPr>
      <w:r>
        <w:t>A 2015 report by SLG economics which included analysis of t</w:t>
      </w:r>
      <w:r w:rsidRPr="00A640A1">
        <w:t>he NSW Cancer Institute Tobacco Tracking Survey</w:t>
      </w:r>
      <w:r w:rsidR="00E03A0D">
        <w:t xml:space="preserve"> (CITTS)</w:t>
      </w:r>
      <w:r w:rsidRPr="00A640A1">
        <w:t xml:space="preserve"> </w:t>
      </w:r>
      <w:r>
        <w:t xml:space="preserve">data which was cited as showing that </w:t>
      </w:r>
      <w:r w:rsidR="00FC49AB">
        <w:t xml:space="preserve">CITTS data strongly challenges the assumption that plain </w:t>
      </w:r>
      <w:r w:rsidR="00E03A0D">
        <w:t>packaging</w:t>
      </w:r>
      <w:r w:rsidR="00FC49AB">
        <w:t xml:space="preserve"> increases the effectiveness of GHWs</w:t>
      </w:r>
      <w:r w:rsidR="00386971">
        <w:t>;</w:t>
      </w:r>
    </w:p>
    <w:p w:rsidR="0035127E" w:rsidRDefault="00002056" w:rsidP="00EC02D0">
      <w:pPr>
        <w:pStyle w:val="Bullet"/>
      </w:pPr>
      <w:r>
        <w:t xml:space="preserve">A 2015 report by SLG economics which included analysis of the ANDSHS 2013 data which was cited as showing that the percentage of smokers nominating health warnings </w:t>
      </w:r>
      <w:r>
        <w:lastRenderedPageBreak/>
        <w:t>on tobacco packets as the reason for trying to quit smoking reduced from 15.2% in 2010 to 11.1% in 2013 for all respondents (aged over 12) and from 15.3% to 10.9% for respondents aged over 18;</w:t>
      </w:r>
    </w:p>
    <w:p w:rsidR="0035127E" w:rsidRDefault="0035127E" w:rsidP="00EC02D0">
      <w:pPr>
        <w:pStyle w:val="Bullet"/>
      </w:pPr>
      <w:r>
        <w:t>A 2015 report by SLG economics which included analysis of t</w:t>
      </w:r>
      <w:r w:rsidRPr="00A640A1">
        <w:t xml:space="preserve">he </w:t>
      </w:r>
      <w:r>
        <w:t>National Tobacco Plain Packaging Tracking Survey</w:t>
      </w:r>
      <w:r w:rsidR="00386971">
        <w:t xml:space="preserve"> (NTPPTS)</w:t>
      </w:r>
      <w:r>
        <w:t xml:space="preserve"> data which was cited as showing that</w:t>
      </w:r>
      <w:r w:rsidR="00386971">
        <w:t xml:space="preserve"> </w:t>
      </w:r>
      <w:r w:rsidR="00C347D9">
        <w:t>in terms of increasing the effectiveness of GHW’s, the evidence from the NTPPTS is mixed</w:t>
      </w:r>
      <w:r w:rsidR="00386971">
        <w:t>;</w:t>
      </w:r>
    </w:p>
    <w:p w:rsidR="00093BA8" w:rsidRDefault="00093BA8" w:rsidP="00EC02D0">
      <w:pPr>
        <w:pStyle w:val="Bullet"/>
      </w:pPr>
      <w:r>
        <w:t>White et al, 2015</w:t>
      </w:r>
      <w:r w:rsidR="005403D1">
        <w:t>a</w:t>
      </w:r>
      <w:r>
        <w:t xml:space="preserve">, a peer reviewed article, which </w:t>
      </w:r>
      <w:r w:rsidR="00551295">
        <w:t xml:space="preserve">was cited as </w:t>
      </w:r>
      <w:r w:rsidR="00BA4C02">
        <w:t>showing</w:t>
      </w:r>
      <w:r>
        <w:t xml:space="preserve"> </w:t>
      </w:r>
      <w:r w:rsidRPr="00A640A1">
        <w:t xml:space="preserve">that plain packaging did not increase adolescents cognitive processing of </w:t>
      </w:r>
      <w:r>
        <w:t xml:space="preserve">warning information. The submission also noted that the </w:t>
      </w:r>
      <w:r w:rsidRPr="00A640A1">
        <w:t>research</w:t>
      </w:r>
      <w:r>
        <w:t xml:space="preserve"> was</w:t>
      </w:r>
      <w:r w:rsidRPr="00A640A1">
        <w:t xml:space="preserve"> jointly funded by the Department of Health, Cancer Councils and participating States</w:t>
      </w:r>
      <w:r>
        <w:t>.</w:t>
      </w:r>
    </w:p>
    <w:p w:rsidR="00DD45EF" w:rsidRDefault="0065569F" w:rsidP="00EC02D0">
      <w:pPr>
        <w:pStyle w:val="Bullet"/>
        <w:numPr>
          <w:ilvl w:val="0"/>
          <w:numId w:val="0"/>
        </w:numPr>
      </w:pPr>
      <w:r>
        <w:t xml:space="preserve">The remaining stakeholders from these groups </w:t>
      </w:r>
      <w:r w:rsidR="003E6B54">
        <w:t xml:space="preserve">(including </w:t>
      </w:r>
      <w:r w:rsidR="00A850DB">
        <w:t xml:space="preserve">some </w:t>
      </w:r>
      <w:r w:rsidR="003E6B54">
        <w:t xml:space="preserve">retailers, </w:t>
      </w:r>
      <w:r w:rsidR="00A850DB">
        <w:t>one tobacco wholesaler and importer</w:t>
      </w:r>
      <w:r w:rsidR="003E6B54">
        <w:t>, one tobacco packaging</w:t>
      </w:r>
      <w:r w:rsidR="00DD45EF">
        <w:t xml:space="preserve"> manufacturer,</w:t>
      </w:r>
      <w:r w:rsidR="003E6B54">
        <w:t xml:space="preserve"> </w:t>
      </w:r>
      <w:r w:rsidR="00DD45EF">
        <w:t>non-health related</w:t>
      </w:r>
      <w:r w:rsidR="00225995">
        <w:t xml:space="preserve"> NGO </w:t>
      </w:r>
      <w:r w:rsidR="00225995">
        <w:rPr>
          <w:szCs w:val="20"/>
        </w:rPr>
        <w:t>stakeholder/s</w:t>
      </w:r>
      <w:r w:rsidR="00DD45EF">
        <w:t xml:space="preserve"> and </w:t>
      </w:r>
      <w:r w:rsidR="00DD64AA">
        <w:t>consumers</w:t>
      </w:r>
      <w:r w:rsidR="003E6B54">
        <w:t xml:space="preserve">) </w:t>
      </w:r>
      <w:r w:rsidR="000D1454">
        <w:t xml:space="preserve">who </w:t>
      </w:r>
      <w:r w:rsidR="0099177B">
        <w:t xml:space="preserve">either </w:t>
      </w:r>
      <w:r w:rsidR="000D1454">
        <w:t>provided positive</w:t>
      </w:r>
      <w:r w:rsidR="0099177B">
        <w:t xml:space="preserve"> or unsure</w:t>
      </w:r>
      <w:r w:rsidR="000D1454">
        <w:t xml:space="preserve"> ratings </w:t>
      </w:r>
      <w:r w:rsidR="00DD45EF">
        <w:t>reported that:</w:t>
      </w:r>
    </w:p>
    <w:p w:rsidR="00406CF7" w:rsidRDefault="008C28AF" w:rsidP="00EC02D0">
      <w:pPr>
        <w:pStyle w:val="Bullet"/>
      </w:pPr>
      <w:r>
        <w:t>T</w:t>
      </w:r>
      <w:r w:rsidR="00DD45EF">
        <w:t>hey did believe that health warnings were more noticeable as a result of tobacco plain packaging</w:t>
      </w:r>
      <w:r w:rsidR="006C57AE">
        <w:t xml:space="preserve"> </w:t>
      </w:r>
      <w:r w:rsidR="00F60B86">
        <w:t>(although some indicated that their effectiveness may reduce over time)</w:t>
      </w:r>
      <w:r w:rsidR="008F5A08">
        <w:t>;</w:t>
      </w:r>
    </w:p>
    <w:p w:rsidR="00A850DB" w:rsidRDefault="008C28AF" w:rsidP="00EC02D0">
      <w:pPr>
        <w:pStyle w:val="Bullet"/>
      </w:pPr>
      <w:r>
        <w:t>T</w:t>
      </w:r>
      <w:r w:rsidR="00406CF7" w:rsidRPr="00406CF7">
        <w:t xml:space="preserve">heir experience with smokers </w:t>
      </w:r>
      <w:r w:rsidR="00406CF7">
        <w:t>suggest that</w:t>
      </w:r>
      <w:r w:rsidR="00406CF7" w:rsidRPr="00406CF7">
        <w:t xml:space="preserve"> they are off-put by enhanced </w:t>
      </w:r>
      <w:r w:rsidR="00BE2397">
        <w:t>GHWs</w:t>
      </w:r>
      <w:r w:rsidR="00406CF7" w:rsidRPr="00406CF7">
        <w:t xml:space="preserve"> and </w:t>
      </w:r>
      <w:r w:rsidR="00406CF7">
        <w:t xml:space="preserve">in some cases </w:t>
      </w:r>
      <w:r w:rsidR="00406CF7" w:rsidRPr="00406CF7">
        <w:t xml:space="preserve">have used </w:t>
      </w:r>
      <w:r w:rsidR="00BE2397">
        <w:t>GHWs</w:t>
      </w:r>
      <w:r w:rsidR="00406CF7" w:rsidRPr="00406CF7">
        <w:t xml:space="preserve"> to </w:t>
      </w:r>
      <w:r w:rsidR="00A850DB">
        <w:t xml:space="preserve">assist them to </w:t>
      </w:r>
      <w:r w:rsidR="00406CF7" w:rsidRPr="00406CF7">
        <w:t>quit</w:t>
      </w:r>
      <w:r w:rsidR="008F5A08">
        <w:t>; and</w:t>
      </w:r>
    </w:p>
    <w:p w:rsidR="00DD45EF" w:rsidRDefault="008C28AF" w:rsidP="00EC02D0">
      <w:pPr>
        <w:pStyle w:val="Bullet"/>
      </w:pPr>
      <w:r>
        <w:t>T</w:t>
      </w:r>
      <w:r w:rsidR="00DD45EF">
        <w:t>hey were unsure whether the measure had increased the effectiveness of health warnings.</w:t>
      </w:r>
    </w:p>
    <w:p w:rsidR="00683F9D" w:rsidRPr="00683F9D" w:rsidRDefault="00683F9D" w:rsidP="007F7A40">
      <w:pPr>
        <w:pStyle w:val="BulletPoints"/>
        <w:numPr>
          <w:ilvl w:val="0"/>
          <w:numId w:val="0"/>
        </w:numPr>
        <w:spacing w:before="60"/>
        <w:ind w:left="357" w:hanging="357"/>
      </w:pPr>
      <w:r>
        <w:t>These stakeholders</w:t>
      </w:r>
      <w:r w:rsidRPr="00683F9D">
        <w:t xml:space="preserve"> did not cite any sources to support their view.</w:t>
      </w:r>
    </w:p>
    <w:p w:rsidR="007133C5" w:rsidRDefault="00375244" w:rsidP="007F7A40">
      <w:pPr>
        <w:pStyle w:val="Bullet"/>
        <w:numPr>
          <w:ilvl w:val="0"/>
          <w:numId w:val="0"/>
        </w:numPr>
        <w:spacing w:before="60" w:after="60"/>
      </w:pPr>
      <w:r>
        <w:t>It is important to note that while some retailers</w:t>
      </w:r>
      <w:r w:rsidR="009D2092">
        <w:t xml:space="preserve">, </w:t>
      </w:r>
      <w:r w:rsidR="00225995">
        <w:t xml:space="preserve">non-health related NGO </w:t>
      </w:r>
      <w:r w:rsidR="00225995">
        <w:rPr>
          <w:szCs w:val="20"/>
        </w:rPr>
        <w:t>stakeholder/s</w:t>
      </w:r>
      <w:r w:rsidR="00453BB9">
        <w:t xml:space="preserve">, </w:t>
      </w:r>
      <w:r>
        <w:t xml:space="preserve">and </w:t>
      </w:r>
      <w:r w:rsidR="00453BB9">
        <w:t>consumers</w:t>
      </w:r>
      <w:r w:rsidR="005A30AF">
        <w:t xml:space="preserve"> </w:t>
      </w:r>
      <w:r w:rsidR="009D2092">
        <w:t xml:space="preserve">who provided quantitative ratings </w:t>
      </w:r>
      <w:r w:rsidR="00406CF7">
        <w:t>indicating</w:t>
      </w:r>
      <w:r w:rsidR="007133C5">
        <w:t xml:space="preserve"> that the measure </w:t>
      </w:r>
      <w:r>
        <w:t xml:space="preserve">has </w:t>
      </w:r>
      <w:r w:rsidR="007133C5">
        <w:t>had some or a significant impact on increasing the effectiveness of health warnings</w:t>
      </w:r>
      <w:r w:rsidR="005A30AF">
        <w:t>, their explanation:</w:t>
      </w:r>
      <w:r>
        <w:t xml:space="preserve"> </w:t>
      </w:r>
      <w:r w:rsidR="007133C5">
        <w:t>did not</w:t>
      </w:r>
      <w:r>
        <w:t xml:space="preserve"> re</w:t>
      </w:r>
      <w:r w:rsidR="005A30AF">
        <w:t>flect the positive rating; or</w:t>
      </w:r>
      <w:r w:rsidR="007133C5">
        <w:t xml:space="preserve"> </w:t>
      </w:r>
      <w:r>
        <w:t>did not relate to the question asked.</w:t>
      </w:r>
    </w:p>
    <w:p w:rsidR="00740968" w:rsidRPr="00127F9C" w:rsidRDefault="00127F9C" w:rsidP="007F7A40">
      <w:pPr>
        <w:spacing w:before="60" w:after="60"/>
      </w:pPr>
      <w:r w:rsidRPr="00B71E97">
        <w:t>One public health organisation</w:t>
      </w:r>
      <w:r w:rsidR="000C4C8E">
        <w:t xml:space="preserve"> and one consumer</w:t>
      </w:r>
      <w:r w:rsidRPr="00B71E97">
        <w:t xml:space="preserve"> indicated that they were ‘unsure’ whether the measure </w:t>
      </w:r>
      <w:r w:rsidR="001A5924" w:rsidRPr="00B71E97">
        <w:t xml:space="preserve">has </w:t>
      </w:r>
      <w:r w:rsidRPr="00B71E97">
        <w:t xml:space="preserve">had an impact on increasing the effectiveness of health warnings as they were not familiar with existing evidence. </w:t>
      </w:r>
      <w:r w:rsidR="00DD64AA">
        <w:t>One government department</w:t>
      </w:r>
      <w:r w:rsidR="00225995">
        <w:t xml:space="preserve"> </w:t>
      </w:r>
      <w:r w:rsidR="00057BE9">
        <w:t>indicated that they were ‘unsure’ of the impact of the tobacco plain packaging measure as</w:t>
      </w:r>
      <w:r w:rsidR="00DD64AA" w:rsidRPr="00DD34A3">
        <w:t xml:space="preserve"> it is difficult to separate out the impact of</w:t>
      </w:r>
      <w:r w:rsidR="00057BE9">
        <w:t xml:space="preserve"> this measure from other tobacco control measures such as </w:t>
      </w:r>
      <w:r w:rsidR="00BE2397">
        <w:t>GHWs</w:t>
      </w:r>
      <w:r w:rsidR="00DD64AA" w:rsidRPr="00DD34A3">
        <w:t xml:space="preserve"> </w:t>
      </w:r>
      <w:r w:rsidR="006C57BD" w:rsidRPr="00DD34A3">
        <w:t>and</w:t>
      </w:r>
      <w:r w:rsidR="006C57BD">
        <w:t xml:space="preserve"> </w:t>
      </w:r>
      <w:r w:rsidR="006C57BD" w:rsidRPr="00DD34A3">
        <w:t>ad</w:t>
      </w:r>
      <w:r w:rsidR="006C57BD">
        <w:t xml:space="preserve"> hoc tobacco excise increases, as </w:t>
      </w:r>
      <w:r w:rsidR="00DD64AA" w:rsidRPr="00DD34A3">
        <w:t xml:space="preserve">these measures </w:t>
      </w:r>
      <w:r w:rsidR="006C57BD">
        <w:t>work</w:t>
      </w:r>
      <w:r w:rsidR="00DD64AA" w:rsidRPr="00DD34A3">
        <w:t xml:space="preserve"> together (along with other tobacco control measures)</w:t>
      </w:r>
      <w:r w:rsidR="006C57BD">
        <w:t xml:space="preserve"> to have an impact</w:t>
      </w:r>
      <w:r w:rsidR="00DD64AA" w:rsidRPr="00DD34A3">
        <w:t xml:space="preserve">. </w:t>
      </w:r>
      <w:r w:rsidR="008B7F4B">
        <w:t xml:space="preserve">The small number of retailers, </w:t>
      </w:r>
      <w:r w:rsidRPr="00B71E97">
        <w:t>consumers</w:t>
      </w:r>
      <w:r w:rsidR="008B7F4B">
        <w:t xml:space="preserve"> and those from the ‘others’ category</w:t>
      </w:r>
      <w:r w:rsidRPr="00B71E97">
        <w:t xml:space="preserve"> who were ‘unsure’ whether the measure </w:t>
      </w:r>
      <w:r w:rsidR="001A5924" w:rsidRPr="00B71E97">
        <w:t xml:space="preserve">has </w:t>
      </w:r>
      <w:r w:rsidR="00551295">
        <w:t>had an impact</w:t>
      </w:r>
      <w:r w:rsidRPr="00B71E97">
        <w:t xml:space="preserve"> did not provide a </w:t>
      </w:r>
      <w:r w:rsidR="005A30AF" w:rsidRPr="00B71E97">
        <w:t xml:space="preserve">qualitative </w:t>
      </w:r>
      <w:r w:rsidRPr="00B71E97">
        <w:t>response</w:t>
      </w:r>
      <w:r w:rsidR="00B71E97" w:rsidRPr="00B71E97">
        <w:t>;</w:t>
      </w:r>
      <w:r w:rsidRPr="00B71E97">
        <w:t xml:space="preserve"> or </w:t>
      </w:r>
      <w:r w:rsidR="00740968" w:rsidRPr="00B71E97">
        <w:t xml:space="preserve">provided a response which did not relate to the objective or that was </w:t>
      </w:r>
      <w:r w:rsidR="00550CB0" w:rsidRPr="00B71E97">
        <w:t xml:space="preserve">not </w:t>
      </w:r>
      <w:r w:rsidR="00740968" w:rsidRPr="00B71E97">
        <w:t>relevant to any questions asked as part of the consultation process.</w:t>
      </w:r>
      <w:r w:rsidR="00740968" w:rsidRPr="00E62376">
        <w:t xml:space="preserve"> </w:t>
      </w:r>
      <w:r w:rsidR="00E60068">
        <w:t>These stakeholders</w:t>
      </w:r>
      <w:r w:rsidR="00E60068" w:rsidRPr="00E60068">
        <w:t xml:space="preserve"> did not cite any sources to support their view.</w:t>
      </w:r>
    </w:p>
    <w:p w:rsidR="005A71DA" w:rsidRDefault="005A71DA" w:rsidP="007F7A40">
      <w:pPr>
        <w:pStyle w:val="Heading5"/>
        <w:spacing w:before="60" w:after="60"/>
      </w:pPr>
      <w:bookmarkStart w:id="75" w:name="_Toc418420307"/>
      <w:bookmarkStart w:id="76" w:name="_Toc418770490"/>
      <w:bookmarkStart w:id="77" w:name="_Toc419889568"/>
      <w:bookmarkStart w:id="78" w:name="_Toc422478374"/>
      <w:r w:rsidRPr="0073298C">
        <w:t>Changes in people’s smoking behaviour</w:t>
      </w:r>
      <w:bookmarkEnd w:id="75"/>
      <w:bookmarkEnd w:id="76"/>
      <w:bookmarkEnd w:id="77"/>
      <w:bookmarkEnd w:id="78"/>
      <w:r w:rsidRPr="0073298C">
        <w:t xml:space="preserve"> </w:t>
      </w:r>
    </w:p>
    <w:p w:rsidR="00E60068" w:rsidRDefault="004E65EE" w:rsidP="007F7A40">
      <w:pPr>
        <w:spacing w:before="60" w:after="60"/>
      </w:pPr>
      <w:r>
        <w:t>M</w:t>
      </w:r>
      <w:r w:rsidR="00071B6F">
        <w:t xml:space="preserve">ost </w:t>
      </w:r>
      <w:r w:rsidR="00BF6EDB">
        <w:t>stakeholders</w:t>
      </w:r>
      <w:r w:rsidR="00071B6F">
        <w:t xml:space="preserve"> from </w:t>
      </w:r>
      <w:r w:rsidR="005A71DA" w:rsidRPr="00076997">
        <w:t xml:space="preserve">industry and </w:t>
      </w:r>
      <w:r>
        <w:t>a small number of</w:t>
      </w:r>
      <w:r w:rsidR="00071B6F">
        <w:t xml:space="preserve"> </w:t>
      </w:r>
      <w:r w:rsidR="00BF6EDB">
        <w:t>stakeholders</w:t>
      </w:r>
      <w:r w:rsidR="00071B6F">
        <w:t xml:space="preserve"> from government departments and health-related </w:t>
      </w:r>
      <w:proofErr w:type="gramStart"/>
      <w:r w:rsidR="00071B6F">
        <w:t>NGOs</w:t>
      </w:r>
      <w:r w:rsidR="005A71DA" w:rsidRPr="00076997">
        <w:t>,</w:t>
      </w:r>
      <w:proofErr w:type="gramEnd"/>
      <w:r w:rsidR="005A71DA" w:rsidRPr="00076997">
        <w:t xml:space="preserve"> questioned whether</w:t>
      </w:r>
      <w:r>
        <w:t xml:space="preserve"> more prominent health warnings</w:t>
      </w:r>
      <w:r w:rsidR="005A71DA" w:rsidRPr="00076997">
        <w:t xml:space="preserve"> would result in less people taking up smoking or existing smokers quitting.</w:t>
      </w:r>
      <w:r w:rsidR="00E60068" w:rsidRPr="00E60068">
        <w:t xml:space="preserve"> They did not cite any</w:t>
      </w:r>
      <w:r w:rsidR="00951DE1">
        <w:t xml:space="preserve"> sources to support their view.</w:t>
      </w:r>
    </w:p>
    <w:bookmarkEnd w:id="73"/>
    <w:bookmarkEnd w:id="74"/>
    <w:p w:rsidR="00551295" w:rsidRDefault="00551295" w:rsidP="007F7A40">
      <w:pPr>
        <w:spacing w:before="60" w:after="60"/>
      </w:pPr>
      <w:r w:rsidRPr="00076997">
        <w:t xml:space="preserve">Other public health </w:t>
      </w:r>
      <w:r>
        <w:t>stakeholders</w:t>
      </w:r>
      <w:r w:rsidRPr="00076997">
        <w:t xml:space="preserve"> </w:t>
      </w:r>
      <w:r>
        <w:t xml:space="preserve">cited the following </w:t>
      </w:r>
      <w:r w:rsidRPr="00076997">
        <w:t>peer review</w:t>
      </w:r>
      <w:r>
        <w:t>ed</w:t>
      </w:r>
      <w:r w:rsidRPr="00076997">
        <w:t xml:space="preserve"> </w:t>
      </w:r>
      <w:r>
        <w:t>sources:</w:t>
      </w:r>
    </w:p>
    <w:p w:rsidR="00551295" w:rsidRDefault="00551295" w:rsidP="00EC02D0">
      <w:pPr>
        <w:pStyle w:val="Bullet"/>
      </w:pPr>
      <w:r>
        <w:t xml:space="preserve">Wakefield et al, 2015, a peer reviewed article, which </w:t>
      </w:r>
      <w:r w:rsidRPr="0034064A">
        <w:t>was cited as</w:t>
      </w:r>
      <w:r>
        <w:t xml:space="preserve"> </w:t>
      </w:r>
      <w:r w:rsidR="00C34E0E">
        <w:t>showing</w:t>
      </w:r>
      <w:r>
        <w:t xml:space="preserve"> that </w:t>
      </w:r>
      <w:r w:rsidRPr="00076997">
        <w:t xml:space="preserve">particular consumer behaviours such as avoiding specific </w:t>
      </w:r>
      <w:r>
        <w:t>GHWs</w:t>
      </w:r>
      <w:r w:rsidRPr="00076997">
        <w:t xml:space="preserve"> and covering/hiding packs are known to indirectly predict increased</w:t>
      </w:r>
      <w:r>
        <w:t xml:space="preserve"> quitting thoughts and attempts</w:t>
      </w:r>
      <w:r w:rsidR="008F5A08">
        <w:t>; and</w:t>
      </w:r>
    </w:p>
    <w:p w:rsidR="00551295" w:rsidRPr="005A71DA" w:rsidRDefault="00551295" w:rsidP="00EC02D0">
      <w:pPr>
        <w:pStyle w:val="Bullet"/>
      </w:pPr>
      <w:r>
        <w:t xml:space="preserve">Brennan et al, 2015, a peer reviewed article, which was cited as </w:t>
      </w:r>
      <w:r w:rsidR="00C34E0E">
        <w:t>showing</w:t>
      </w:r>
      <w:r>
        <w:t xml:space="preserve"> an increase in the likelihood that smokers think about quitting, intend to quit, have a firm date to quit and stop oneself from smoking</w:t>
      </w:r>
      <w:r w:rsidR="008F5A08">
        <w:t>.</w:t>
      </w:r>
    </w:p>
    <w:p w:rsidR="007056D4" w:rsidRPr="00C23FAF" w:rsidRDefault="00175D16" w:rsidP="007056D4">
      <w:pPr>
        <w:spacing w:before="60" w:after="60"/>
      </w:pPr>
      <w:r>
        <w:lastRenderedPageBreak/>
        <w:t>Table 6</w:t>
      </w:r>
      <w:r w:rsidR="007056D4" w:rsidRPr="00C23FAF">
        <w:t xml:space="preserve"> presents a sample of stakeholder views across groups in order to ill</w:t>
      </w:r>
      <w:r w:rsidR="00951DE1">
        <w:t>ustrate the diversity of views.</w:t>
      </w:r>
    </w:p>
    <w:p w:rsidR="007056D4" w:rsidRPr="002F37C4" w:rsidRDefault="00175D16" w:rsidP="00192E2B">
      <w:pPr>
        <w:pStyle w:val="TblHeading"/>
      </w:pPr>
      <w:proofErr w:type="gramStart"/>
      <w:r>
        <w:t>Table 6</w:t>
      </w:r>
      <w:r w:rsidR="007056D4" w:rsidRPr="00C23FAF">
        <w:t>.</w:t>
      </w:r>
      <w:proofErr w:type="gramEnd"/>
      <w:r w:rsidR="007056D4" w:rsidRPr="00C23FAF">
        <w:t xml:space="preserve"> </w:t>
      </w:r>
      <w:r w:rsidR="00843A11" w:rsidRPr="00C23FAF">
        <w:t>Examples</w:t>
      </w:r>
      <w:r w:rsidR="00843A11" w:rsidRPr="00843A11">
        <w:t xml:space="preserve"> of stakeholder v</w:t>
      </w:r>
      <w:r w:rsidR="00951DE1">
        <w:t>iews</w:t>
      </w:r>
    </w:p>
    <w:p w:rsidR="00A45C14" w:rsidRPr="00A62252"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0"/>
        </w:rPr>
      </w:pPr>
      <w:r w:rsidRPr="00F26071">
        <w:t xml:space="preserve">“There are fewer distractions, like the product branding – it’s very clear, the health risks that come with it.” </w:t>
      </w:r>
      <w:r>
        <w:rPr>
          <w:szCs w:val="20"/>
        </w:rPr>
        <w:t>(Public health organisation/expert)</w:t>
      </w:r>
    </w:p>
    <w:p w:rsidR="00A45C14"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0"/>
        </w:rPr>
      </w:pPr>
      <w:r w:rsidRPr="00F26071">
        <w:t xml:space="preserve">“For example it </w:t>
      </w:r>
      <w:proofErr w:type="gramStart"/>
      <w:r w:rsidRPr="00F26071">
        <w:t>really stands to reason that there is nothing else on the packet except for health warnings it’s</w:t>
      </w:r>
      <w:proofErr w:type="gramEnd"/>
      <w:r w:rsidRPr="00F26071">
        <w:t xml:space="preserve"> going to draw more attention to the health warnings. It’s n</w:t>
      </w:r>
      <w:r>
        <w:t xml:space="preserve">ot diverted by anything else.” </w:t>
      </w:r>
      <w:r>
        <w:rPr>
          <w:szCs w:val="20"/>
        </w:rPr>
        <w:t>(Public health organisation/expert)</w:t>
      </w:r>
    </w:p>
    <w:p w:rsidR="00A45C14" w:rsidRPr="00A62252"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0"/>
        </w:rPr>
      </w:pPr>
      <w:r w:rsidRPr="00F26071">
        <w:rPr>
          <w:lang w:eastAsia="en-AU"/>
        </w:rPr>
        <w:t xml:space="preserve">“…from speaking with people it’s increased the visibility – but they get used to it…” </w:t>
      </w:r>
      <w:r>
        <w:rPr>
          <w:szCs w:val="20"/>
        </w:rPr>
        <w:t>(Public health organisation/expert)</w:t>
      </w:r>
    </w:p>
    <w:p w:rsidR="00A45C14" w:rsidRPr="002203C0"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F26071">
        <w:t>“</w:t>
      </w:r>
      <w:r>
        <w:t xml:space="preserve">Tobacco plain packaging </w:t>
      </w:r>
      <w:r w:rsidRPr="00F26071">
        <w:t xml:space="preserve">provides a drab and non-competitive backdrop for the </w:t>
      </w:r>
      <w:r>
        <w:t>GHWs</w:t>
      </w:r>
      <w:r w:rsidRPr="00F26071">
        <w:t>. By removing the brands and appealing colours it makes the healt</w:t>
      </w:r>
      <w:r>
        <w:t>h warnings far more prominent.” (</w:t>
      </w:r>
      <w:r w:rsidRPr="003B5577">
        <w:t>Government department</w:t>
      </w:r>
      <w:r>
        <w:t xml:space="preserve"> stakeholder)</w:t>
      </w:r>
    </w:p>
    <w:p w:rsidR="00A45C14" w:rsidRPr="00F26071"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F26071">
        <w:t>“</w:t>
      </w:r>
      <w:r>
        <w:t xml:space="preserve">Tobacco plain packaging </w:t>
      </w:r>
      <w:r w:rsidRPr="00F26071">
        <w:t xml:space="preserve">has, if </w:t>
      </w:r>
      <w:proofErr w:type="gramStart"/>
      <w:r w:rsidRPr="00F26071">
        <w:t>anything,</w:t>
      </w:r>
      <w:proofErr w:type="gramEnd"/>
      <w:r w:rsidRPr="00F26071">
        <w:t xml:space="preserve"> reduced the effectiveness - there is significant international scientific research on how, once a certain point is reached, </w:t>
      </w:r>
      <w:r>
        <w:t>GHWs</w:t>
      </w:r>
      <w:r w:rsidRPr="00F26071">
        <w:t xml:space="preserve"> have reduced effectiveness as people tune out, and this is the experience of our members and supporters.” </w:t>
      </w:r>
      <w:r>
        <w:t>(</w:t>
      </w:r>
      <w:r w:rsidRPr="003B5577">
        <w:t xml:space="preserve">Non health </w:t>
      </w:r>
      <w:r>
        <w:t xml:space="preserve">related </w:t>
      </w:r>
      <w:r w:rsidRPr="003B5577">
        <w:t>NGO</w:t>
      </w:r>
      <w:r>
        <w:t>)</w:t>
      </w:r>
    </w:p>
    <w:p w:rsidR="00A45C14"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F26071">
        <w:t xml:space="preserve">“When the packaging first came out, some consumers would ask for certain packages (i.e. not the baby picture please). But, after maybe a few months, the care factor was lost.” </w:t>
      </w:r>
      <w:r>
        <w:t>(</w:t>
      </w:r>
      <w:r w:rsidRPr="003B5577">
        <w:t xml:space="preserve">Non health </w:t>
      </w:r>
      <w:r>
        <w:t xml:space="preserve">related </w:t>
      </w:r>
      <w:r w:rsidRPr="003B5577">
        <w:t>NGO</w:t>
      </w:r>
      <w:r>
        <w:t>)</w:t>
      </w:r>
    </w:p>
    <w:p w:rsidR="00A45C14" w:rsidRPr="00F26071"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F26071">
        <w:t xml:space="preserve"> “</w:t>
      </w:r>
      <w:proofErr w:type="gramStart"/>
      <w:r>
        <w:t>tobacco</w:t>
      </w:r>
      <w:proofErr w:type="gramEnd"/>
      <w:r>
        <w:t xml:space="preserve"> plain packaging </w:t>
      </w:r>
      <w:r w:rsidRPr="00F26071">
        <w:t>does not enhance the effectiveness of health warnings. Noticing something, particularly something one knows already - such as a health warning on a tobacco product - does not make it more effective and translate into a change in actual smoking behaviour.”</w:t>
      </w:r>
      <w:r w:rsidR="0060225B">
        <w:t xml:space="preserve"> (Tobacco </w:t>
      </w:r>
      <w:proofErr w:type="gramStart"/>
      <w:r w:rsidR="0060225B">
        <w:t>company</w:t>
      </w:r>
      <w:proofErr w:type="gramEnd"/>
      <w:r w:rsidR="0060225B">
        <w:t>)</w:t>
      </w:r>
    </w:p>
    <w:p w:rsidR="00A45C14" w:rsidRPr="00F26071"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F26071">
        <w:t xml:space="preserve">“By the time that we implemented </w:t>
      </w:r>
      <w:r>
        <w:t xml:space="preserve">tobacco plain packaging </w:t>
      </w:r>
      <w:r w:rsidRPr="00F26071">
        <w:t xml:space="preserve">the health warnings had been in place for a number of years, and the graphic warnings for a number of years, we suspect that a lot of our customers had become quite desensitised to those graphic images by that date.” </w:t>
      </w:r>
      <w:r>
        <w:t>(Retailer)</w:t>
      </w:r>
    </w:p>
    <w:p w:rsidR="00A45C14" w:rsidRPr="00F26071"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F26071">
        <w:t xml:space="preserve">“The initial shock </w:t>
      </w:r>
      <w:proofErr w:type="gramStart"/>
      <w:r w:rsidRPr="00F26071">
        <w:t>value of these graphic warnings have</w:t>
      </w:r>
      <w:proofErr w:type="gramEnd"/>
      <w:r w:rsidRPr="00F26071">
        <w:t xml:space="preserve"> long worn off, and the majority of consumers don't even see them anymore.  As a retailer, I find that seeing them all day every day I don't even notice the health warnings anymore.  People know the health risks.” </w:t>
      </w:r>
      <w:r>
        <w:t>(Retailer)</w:t>
      </w:r>
    </w:p>
    <w:p w:rsidR="00A45C14" w:rsidRPr="00F26071"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F26071">
        <w:t xml:space="preserve">“If they (consumers) are disgusted by the looks of the packets they transport into a metal case or cigarette holder. But lately it's rare for consumers to worry about the signage and the warning on the packet.” </w:t>
      </w:r>
      <w:r>
        <w:t>(Retailer)</w:t>
      </w:r>
    </w:p>
    <w:p w:rsidR="00A45C14" w:rsidRPr="00F26071"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F26071">
        <w:t xml:space="preserve">“The health warnings are more noticeable now.” </w:t>
      </w:r>
      <w:r>
        <w:t>(Retailer)</w:t>
      </w:r>
    </w:p>
    <w:p w:rsidR="00A45C14" w:rsidRPr="00F26071"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F26071">
        <w:t>“…because there is no branding health warnings a lot easier to see.”</w:t>
      </w:r>
      <w:r>
        <w:t xml:space="preserve"> (Retailer)</w:t>
      </w:r>
    </w:p>
    <w:p w:rsidR="00A45C14" w:rsidRPr="00F26071"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F26071">
        <w:t>“There’s no doubt that the health warnings are large and graphic – the size and the fact that there is no other colour on the packaging means the warnings stand out more than anything.</w:t>
      </w:r>
      <w:r>
        <w:t>” (Tobacco wholesaler and importer)</w:t>
      </w:r>
    </w:p>
    <w:p w:rsidR="00A45C14"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F26071">
        <w:t>“With the graphic nature of and the number of different warnings, people can be in no doubt about adverse health effects related to smoking. The size of the warnings on packaging can only be rated as effective.”</w:t>
      </w:r>
      <w:r>
        <w:t xml:space="preserve"> (Consumer)</w:t>
      </w:r>
    </w:p>
    <w:p w:rsidR="00A45C14"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t>“</w:t>
      </w:r>
      <w:r w:rsidRPr="00C97EB9">
        <w:t>Health warnings at the top are great, people do need to be aware and support these health issues.</w:t>
      </w:r>
      <w:r>
        <w:t>” (Consumer)</w:t>
      </w:r>
    </w:p>
    <w:p w:rsidR="00A45C14" w:rsidRPr="001D5E78"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C97EB9">
        <w:rPr>
          <w:color w:val="000000"/>
          <w:szCs w:val="20"/>
          <w:lang w:eastAsia="en-AU"/>
        </w:rPr>
        <w:t>“Warnings should be made available on everything</w:t>
      </w:r>
      <w:r>
        <w:rPr>
          <w:color w:val="000000"/>
          <w:szCs w:val="20"/>
          <w:lang w:eastAsia="en-AU"/>
        </w:rPr>
        <w:t>.</w:t>
      </w:r>
      <w:r w:rsidRPr="00C97EB9">
        <w:rPr>
          <w:color w:val="000000"/>
          <w:szCs w:val="20"/>
          <w:lang w:eastAsia="en-AU"/>
        </w:rPr>
        <w:t>”</w:t>
      </w:r>
      <w:r>
        <w:t xml:space="preserve"> (Consumer)</w:t>
      </w:r>
    </w:p>
    <w:p w:rsidR="00A45C14"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F26071">
        <w:t>“The health warnings are extremely visible which makes them effective. However, most people just cover them with their phones or put them in the</w:t>
      </w:r>
      <w:r>
        <w:t xml:space="preserve">ir bag/pocket. </w:t>
      </w:r>
      <w:proofErr w:type="gramStart"/>
      <w:r>
        <w:t>Easy to shield.”</w:t>
      </w:r>
      <w:proofErr w:type="gramEnd"/>
      <w:r>
        <w:t xml:space="preserve"> (Consumer)</w:t>
      </w:r>
    </w:p>
    <w:p w:rsidR="00A45C14"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F26071">
        <w:t>“Those that choose to smoke make an informed decision knowing the consequence and therefore warnings do not provide additional information of which the consumer is not already aware.</w:t>
      </w:r>
      <w:r>
        <w:t>” (Consumer)</w:t>
      </w:r>
    </w:p>
    <w:p w:rsidR="00A45C14" w:rsidRPr="00F26071"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pPr>
      <w:r w:rsidRPr="00F26071">
        <w:t>“Already had graphic photos before the 'plain packaging' measure so the effectiveness is somewhat unchanged.</w:t>
      </w:r>
      <w:r>
        <w:t>” (Consumer)</w:t>
      </w:r>
    </w:p>
    <w:p w:rsidR="009C2B00" w:rsidRPr="00351F05" w:rsidRDefault="00FE5066" w:rsidP="00493DCB">
      <w:pPr>
        <w:pStyle w:val="Heading3"/>
      </w:pPr>
      <w:r>
        <w:br w:type="page"/>
      </w:r>
      <w:bookmarkStart w:id="79" w:name="_Toc418770492"/>
      <w:bookmarkStart w:id="80" w:name="_Toc419889570"/>
      <w:bookmarkStart w:id="81" w:name="_Toc422478376"/>
      <w:bookmarkStart w:id="82" w:name="_Toc426122315"/>
      <w:bookmarkStart w:id="83" w:name="_Toc427306694"/>
      <w:r w:rsidR="009C2B00" w:rsidRPr="00351F05">
        <w:lastRenderedPageBreak/>
        <w:t>Reducing the ability of the retail packaging of tobacco products to mislead consumers about the harmful effects of smoking or using tobacco products</w:t>
      </w:r>
      <w:bookmarkEnd w:id="79"/>
      <w:bookmarkEnd w:id="80"/>
      <w:r w:rsidR="00FA0176">
        <w:t xml:space="preserve"> </w:t>
      </w:r>
      <w:r w:rsidR="00FA0176" w:rsidRPr="00551295">
        <w:t>(</w:t>
      </w:r>
      <w:r w:rsidR="0068707C" w:rsidRPr="00551295">
        <w:t>section</w:t>
      </w:r>
      <w:r w:rsidR="00FA0176" w:rsidRPr="00551295">
        <w:t xml:space="preserve"> 3(2</w:t>
      </w:r>
      <w:proofErr w:type="gramStart"/>
      <w:r w:rsidR="00FA0176" w:rsidRPr="00551295">
        <w:t>)(</w:t>
      </w:r>
      <w:proofErr w:type="gramEnd"/>
      <w:r w:rsidR="00FA0176" w:rsidRPr="00551295">
        <w:t>c) of the TPP Act)</w:t>
      </w:r>
      <w:bookmarkEnd w:id="81"/>
      <w:bookmarkEnd w:id="82"/>
      <w:bookmarkEnd w:id="83"/>
    </w:p>
    <w:p w:rsidR="00C34452" w:rsidRDefault="00BF6EDB" w:rsidP="00DC6169">
      <w:r>
        <w:t>Stakeholders</w:t>
      </w:r>
      <w:r w:rsidR="008A4A6B" w:rsidRPr="008D52FA">
        <w:t xml:space="preserve"> were asked to </w:t>
      </w:r>
      <w:r w:rsidR="008A4A6B" w:rsidRPr="008A4A6B">
        <w:t>provide ratings and qualitative</w:t>
      </w:r>
      <w:r w:rsidR="008A4A6B">
        <w:t xml:space="preserve"> </w:t>
      </w:r>
      <w:r w:rsidR="00BD06F5" w:rsidRPr="00990E33">
        <w:t>comment on the extent to which they thought that the tobacco</w:t>
      </w:r>
      <w:r w:rsidR="00416DF1">
        <w:t xml:space="preserve"> plain packaging </w:t>
      </w:r>
      <w:r w:rsidR="00BD06F5" w:rsidRPr="00990E33">
        <w:t>measure, by regulating the retail packaging and appea</w:t>
      </w:r>
      <w:r w:rsidR="00C34452">
        <w:t xml:space="preserve">rance of tobacco products, </w:t>
      </w:r>
      <w:r w:rsidR="00C34452" w:rsidRPr="0003707F">
        <w:t xml:space="preserve">has </w:t>
      </w:r>
      <w:r w:rsidR="00BD06F5" w:rsidRPr="0003707F">
        <w:t>reduced the ability of the retail packaging of tobacco products to mislead consumers about the harmful effects of smoking or using tobacco products</w:t>
      </w:r>
      <w:r w:rsidR="00C34452" w:rsidRPr="0003707F">
        <w:t>.</w:t>
      </w:r>
      <w:r w:rsidR="005A7B6A">
        <w:t xml:space="preserve"> The limitations of this data are</w:t>
      </w:r>
      <w:r w:rsidR="00DC6169">
        <w:t xml:space="preserve"> discussed </w:t>
      </w:r>
      <w:r w:rsidR="0060225B">
        <w:t>at Section 1.3 of this report.</w:t>
      </w:r>
    </w:p>
    <w:p w:rsidR="009F584C" w:rsidRPr="00C11494" w:rsidRDefault="009F584C" w:rsidP="009F584C">
      <w:pPr>
        <w:pStyle w:val="Heading4"/>
      </w:pPr>
      <w:r w:rsidRPr="00C11494">
        <w:t>Quantitative ratings</w:t>
      </w:r>
    </w:p>
    <w:p w:rsidR="00175D16" w:rsidRPr="00352E39" w:rsidRDefault="00175D16" w:rsidP="00892EB6">
      <w:r w:rsidRPr="00352E39">
        <w:t>T</w:t>
      </w:r>
      <w:r>
        <w:t>able 7</w:t>
      </w:r>
      <w:r w:rsidRPr="00352E39">
        <w:t xml:space="preserve"> presents </w:t>
      </w:r>
      <w:r w:rsidRPr="00D46A69">
        <w:t>posit</w:t>
      </w:r>
      <w:r>
        <w:t xml:space="preserve">ive, negative and unsure </w:t>
      </w:r>
      <w:r w:rsidRPr="00352E39">
        <w:t>ratings</w:t>
      </w:r>
      <w:r>
        <w:t xml:space="preserve"> (and no response)</w:t>
      </w:r>
      <w:r w:rsidRPr="00352E39">
        <w:t xml:space="preserve"> by stakeholder </w:t>
      </w:r>
      <w:r w:rsidRPr="008F52D4">
        <w:t xml:space="preserve">category </w:t>
      </w:r>
      <w:r w:rsidRPr="008F52D4">
        <w:rPr>
          <w:rFonts w:cs="Times New Roman"/>
          <w:bCs/>
        </w:rPr>
        <w:t>for those stakeholders who participated in the consultation process using the consultation protocol only</w:t>
      </w:r>
      <w:r w:rsidRPr="008F52D4">
        <w:t>.</w:t>
      </w:r>
      <w:r w:rsidRPr="00352E39">
        <w:t xml:space="preserve"> This allows the reader to identify the stakeholder groups who gave each type of rating and the distribution of rat</w:t>
      </w:r>
      <w:r w:rsidR="0060225B">
        <w:t>ings across stakeholder groups.</w:t>
      </w:r>
    </w:p>
    <w:p w:rsidR="00175D16" w:rsidRPr="00E12A7B" w:rsidRDefault="00175D16" w:rsidP="00192E2B">
      <w:pPr>
        <w:pStyle w:val="TblHeading"/>
      </w:pPr>
      <w:proofErr w:type="gramStart"/>
      <w:r>
        <w:t>Table 7</w:t>
      </w:r>
      <w:r w:rsidRPr="00E12A7B">
        <w:t>.</w:t>
      </w:r>
      <w:proofErr w:type="gramEnd"/>
      <w:r w:rsidRPr="00E12A7B">
        <w:t xml:space="preserve"> </w:t>
      </w:r>
      <w:r w:rsidR="00031D1D" w:rsidRPr="00E12A7B">
        <w:t xml:space="preserve">Frequency of types of quantitative ratings </w:t>
      </w:r>
      <w:r w:rsidR="00031D1D">
        <w:t>by stakeholders regarding whether the</w:t>
      </w:r>
      <w:r w:rsidR="00031D1D" w:rsidRPr="008D52FA">
        <w:t xml:space="preserve"> tobacco</w:t>
      </w:r>
      <w:r w:rsidR="00031D1D">
        <w:t xml:space="preserve"> plain packaging </w:t>
      </w:r>
      <w:r w:rsidR="00031D1D" w:rsidRPr="008D52FA">
        <w:t>measure</w:t>
      </w:r>
      <w:r w:rsidR="00031D1D">
        <w:t xml:space="preserve"> has reduced the ability of retail tobacco packaging to mislead consumers, </w:t>
      </w:r>
      <w:r w:rsidRPr="00E12A7B">
        <w:t xml:space="preserve">grouped by stakeholder category (for those stakeholders who participated in the consultation process using the consultation protocol </w:t>
      </w:r>
      <w:r>
        <w:t>only</w:t>
      </w:r>
      <w:r w:rsidR="00031D1D">
        <w:t>)</w:t>
      </w:r>
    </w:p>
    <w:tbl>
      <w:tblPr>
        <w:tblW w:w="4831" w:type="pct"/>
        <w:tblInd w:w="108" w:type="dxa"/>
        <w:tblLayout w:type="fixed"/>
        <w:tblCellMar>
          <w:left w:w="0" w:type="dxa"/>
          <w:right w:w="0" w:type="dxa"/>
        </w:tblCellMar>
        <w:tblLook w:val="04A0" w:firstRow="1" w:lastRow="0" w:firstColumn="1" w:lastColumn="0" w:noHBand="0" w:noVBand="1"/>
        <w:tblDescription w:val="For the various stakeholder groups, table 7 shows the frequency of stakeholder quantitative ratings for whether the measure has reduced the ability of the retail packaging of tobacco products to mislead consumers about the harmful effects of smoking or using tobacco products.  It has five columns.  Read across for stakeholder group, positive result (to a great extent or somewhat), negative result (not at all or very little), unsure, and no response provided.  Data is presented in the format n/m where n is the number of stakeholders giving the particular rating and m is the total number of stakeholders in the relevant stakeholder group.  Those stakeholders who did not provide a quantitative rating have been included in the denominator as some did go on to provide qualitative responses."/>
      </w:tblPr>
      <w:tblGrid>
        <w:gridCol w:w="2269"/>
        <w:gridCol w:w="1843"/>
        <w:gridCol w:w="1559"/>
        <w:gridCol w:w="1559"/>
        <w:gridCol w:w="1700"/>
      </w:tblGrid>
      <w:tr w:rsidR="00FE7970" w:rsidRPr="00FE7970" w:rsidTr="00A45C14">
        <w:trPr>
          <w:trHeight w:val="704"/>
          <w:tblHeader/>
        </w:trPr>
        <w:tc>
          <w:tcPr>
            <w:tcW w:w="1270" w:type="pct"/>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FE797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Stakeholder group</w:t>
            </w:r>
          </w:p>
        </w:tc>
        <w:tc>
          <w:tcPr>
            <w:tcW w:w="103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0B5EF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Positive result (to a great extent/ somewhat)</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0B5EF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Negative result (not at all/ very little) </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FE797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Unsure </w:t>
            </w:r>
          </w:p>
        </w:tc>
        <w:tc>
          <w:tcPr>
            <w:tcW w:w="95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FE797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No Response Provided</w:t>
            </w:r>
            <w:r w:rsidRPr="00FE7970">
              <w:rPr>
                <w:rStyle w:val="FootnoteReference"/>
                <w:rFonts w:cs="Times New Roman"/>
                <w:b/>
                <w:color w:val="000000"/>
                <w:sz w:val="18"/>
                <w:szCs w:val="18"/>
                <w:lang w:eastAsia="en-AU"/>
              </w:rPr>
              <w:footnoteReference w:customMarkFollows="1" w:id="10"/>
              <w:t>[1]</w:t>
            </w:r>
          </w:p>
        </w:tc>
      </w:tr>
      <w:tr w:rsidR="0047548A" w:rsidRPr="00FE7970" w:rsidTr="00FE7970">
        <w:trPr>
          <w:trHeight w:val="572"/>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Public Health Organisations/Experts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w:t>
            </w:r>
            <w:r w:rsidR="002C7158">
              <w:rPr>
                <w:rFonts w:cs="Times New Roman"/>
                <w:color w:val="000000"/>
                <w:sz w:val="18"/>
                <w:szCs w:val="18"/>
                <w:lang w:eastAsia="en-AU"/>
              </w:rPr>
              <w:t>20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sidRPr="00C00265">
              <w:rPr>
                <w:color w:val="000000"/>
                <w:sz w:val="18"/>
                <w:szCs w:val="18"/>
                <w:lang w:eastAsia="en-AU"/>
              </w:rPr>
              <w:t>19</w:t>
            </w:r>
            <w:r>
              <w:rPr>
                <w:color w:val="000000"/>
                <w:sz w:val="18"/>
                <w:szCs w:val="18"/>
                <w:lang w:eastAsia="en-AU"/>
              </w:rPr>
              <w:t>/</w:t>
            </w:r>
            <w:r w:rsidR="00554494">
              <w:rPr>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554494" w:rsidP="0047548A">
            <w:pPr>
              <w:spacing w:after="0"/>
              <w:jc w:val="center"/>
              <w:rPr>
                <w:rFonts w:cs="Times New Roman"/>
                <w:color w:val="000000"/>
                <w:sz w:val="18"/>
                <w:szCs w:val="18"/>
                <w:lang w:eastAsia="en-AU"/>
              </w:rPr>
            </w:pPr>
            <w:r>
              <w:rPr>
                <w:color w:val="000000"/>
                <w:sz w:val="18"/>
                <w:szCs w:val="18"/>
                <w:lang w:eastAsia="en-AU"/>
              </w:rPr>
              <w:t>0</w:t>
            </w:r>
            <w:r w:rsidR="0047548A">
              <w:rPr>
                <w:color w:val="000000"/>
                <w:sz w:val="18"/>
                <w:szCs w:val="18"/>
                <w:lang w:eastAsia="en-AU"/>
              </w:rPr>
              <w:t>/</w:t>
            </w:r>
            <w:r>
              <w:rPr>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sidRPr="00C00265">
              <w:rPr>
                <w:color w:val="000000"/>
                <w:sz w:val="18"/>
                <w:szCs w:val="18"/>
                <w:lang w:eastAsia="en-AU"/>
              </w:rPr>
              <w:t>0</w:t>
            </w:r>
            <w:r w:rsidR="006F06AD">
              <w:rPr>
                <w:color w:val="000000"/>
                <w:sz w:val="18"/>
                <w:szCs w:val="18"/>
                <w:lang w:eastAsia="en-AU"/>
              </w:rPr>
              <w:t>/</w:t>
            </w:r>
            <w:r w:rsidR="00554494">
              <w:rPr>
                <w:color w:val="000000"/>
                <w:sz w:val="18"/>
                <w:szCs w:val="18"/>
                <w:lang w:eastAsia="en-AU"/>
              </w:rPr>
              <w:t>20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sidRPr="00C00265">
              <w:rPr>
                <w:color w:val="000000"/>
                <w:sz w:val="18"/>
                <w:szCs w:val="18"/>
                <w:lang w:eastAsia="en-AU"/>
              </w:rPr>
              <w:t>1</w:t>
            </w:r>
            <w:r>
              <w:rPr>
                <w:color w:val="000000"/>
                <w:sz w:val="18"/>
                <w:szCs w:val="18"/>
                <w:lang w:eastAsia="en-AU"/>
              </w:rPr>
              <w:t>/</w:t>
            </w:r>
            <w:r w:rsidR="00554494">
              <w:rPr>
                <w:color w:val="000000"/>
                <w:sz w:val="18"/>
                <w:szCs w:val="18"/>
                <w:lang w:eastAsia="en-AU"/>
              </w:rPr>
              <w:t>20</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Government Departments</w:t>
            </w:r>
          </w:p>
          <w:p w:rsidR="0047548A" w:rsidRPr="00FE7970" w:rsidRDefault="0047548A" w:rsidP="0047548A">
            <w:pPr>
              <w:spacing w:before="0" w:after="0"/>
              <w:rPr>
                <w:rFonts w:cs="Times New Roman"/>
                <w:color w:val="000000"/>
                <w:sz w:val="18"/>
                <w:szCs w:val="18"/>
                <w:lang w:eastAsia="en-AU"/>
              </w:rPr>
            </w:pPr>
            <w:r>
              <w:rPr>
                <w:rFonts w:cs="Times New Roman"/>
                <w:color w:val="000000"/>
                <w:sz w:val="18"/>
                <w:szCs w:val="18"/>
                <w:lang w:eastAsia="en-AU"/>
              </w:rPr>
              <w:t>(n=8</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DD1724" w:rsidP="0047548A">
            <w:pPr>
              <w:spacing w:after="0"/>
              <w:jc w:val="center"/>
              <w:rPr>
                <w:rFonts w:cs="Times New Roman"/>
                <w:color w:val="000000"/>
                <w:sz w:val="18"/>
                <w:szCs w:val="18"/>
                <w:lang w:eastAsia="en-AU"/>
              </w:rPr>
            </w:pPr>
            <w:r>
              <w:rPr>
                <w:color w:val="000000"/>
                <w:sz w:val="18"/>
                <w:szCs w:val="18"/>
                <w:lang w:eastAsia="en-AU"/>
              </w:rPr>
              <w:t>8</w:t>
            </w:r>
            <w:r w:rsidR="0047548A">
              <w:rPr>
                <w:color w:val="000000"/>
                <w:sz w:val="18"/>
                <w:szCs w:val="18"/>
                <w:lang w:eastAsia="en-AU"/>
              </w:rPr>
              <w:t>/8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0</w:t>
            </w:r>
            <w:r w:rsidR="00DD1724">
              <w:rPr>
                <w:rFonts w:cs="Times New Roman"/>
                <w:color w:val="000000"/>
                <w:sz w:val="18"/>
                <w:szCs w:val="18"/>
                <w:lang w:eastAsia="en-AU"/>
              </w:rPr>
              <w:t>/8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0</w:t>
            </w:r>
            <w:r w:rsidR="00DD1724">
              <w:rPr>
                <w:rFonts w:cs="Times New Roman"/>
                <w:color w:val="000000"/>
                <w:sz w:val="18"/>
                <w:szCs w:val="18"/>
                <w:lang w:eastAsia="en-AU"/>
              </w:rPr>
              <w:t>/8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DD1724" w:rsidP="0047548A">
            <w:pPr>
              <w:spacing w:after="0"/>
              <w:jc w:val="center"/>
              <w:rPr>
                <w:rFonts w:cs="Times New Roman"/>
                <w:color w:val="000000"/>
                <w:sz w:val="18"/>
                <w:szCs w:val="18"/>
                <w:lang w:eastAsia="en-AU"/>
              </w:rPr>
            </w:pPr>
            <w:r>
              <w:rPr>
                <w:color w:val="000000"/>
                <w:sz w:val="18"/>
                <w:szCs w:val="18"/>
                <w:lang w:eastAsia="en-AU"/>
              </w:rPr>
              <w:t>0</w:t>
            </w:r>
            <w:r w:rsidR="0047548A">
              <w:rPr>
                <w:color w:val="000000"/>
                <w:sz w:val="18"/>
                <w:szCs w:val="18"/>
                <w:lang w:eastAsia="en-AU"/>
              </w:rPr>
              <w:t>/8</w:t>
            </w:r>
          </w:p>
        </w:tc>
      </w:tr>
      <w:tr w:rsidR="0047548A" w:rsidRPr="00FE7970" w:rsidTr="00FE7970">
        <w:trPr>
          <w:trHeight w:val="485"/>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Non-Government Organisations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(n=14)</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sidRPr="00C00265">
              <w:rPr>
                <w:color w:val="000000"/>
                <w:sz w:val="18"/>
                <w:szCs w:val="18"/>
                <w:lang w:eastAsia="en-AU"/>
              </w:rPr>
              <w:t>6</w:t>
            </w:r>
            <w:r>
              <w:rPr>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sidRPr="00C00265">
              <w:rPr>
                <w:color w:val="000000"/>
                <w:sz w:val="18"/>
                <w:szCs w:val="18"/>
                <w:lang w:eastAsia="en-AU"/>
              </w:rPr>
              <w:t>6</w:t>
            </w:r>
            <w:r>
              <w:rPr>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1/14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1/14</w:t>
            </w:r>
          </w:p>
        </w:tc>
      </w:tr>
      <w:tr w:rsidR="00BC24EB"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24EB" w:rsidRPr="00FE7970" w:rsidRDefault="00BC24EB" w:rsidP="00BC24EB">
            <w:pPr>
              <w:spacing w:before="0" w:after="0"/>
              <w:rPr>
                <w:rFonts w:cs="Times New Roman"/>
                <w:color w:val="000000"/>
                <w:sz w:val="18"/>
                <w:szCs w:val="18"/>
                <w:lang w:eastAsia="en-AU"/>
              </w:rPr>
            </w:pPr>
            <w:r w:rsidRPr="00FE7970">
              <w:rPr>
                <w:rFonts w:cs="Times New Roman"/>
                <w:color w:val="000000"/>
                <w:sz w:val="18"/>
                <w:szCs w:val="18"/>
                <w:lang w:eastAsia="en-AU"/>
              </w:rPr>
              <w:t>Tobacco Companies</w:t>
            </w:r>
          </w:p>
          <w:p w:rsidR="00BC24EB" w:rsidRPr="00FE7970" w:rsidRDefault="00BC24EB" w:rsidP="00BC24EB">
            <w:pPr>
              <w:spacing w:before="0" w:after="0"/>
              <w:rPr>
                <w:rFonts w:cs="Times New Roman"/>
                <w:color w:val="000000"/>
                <w:sz w:val="18"/>
                <w:szCs w:val="18"/>
                <w:lang w:eastAsia="en-AU"/>
              </w:rPr>
            </w:pPr>
            <w:r>
              <w:rPr>
                <w:rFonts w:cs="Times New Roman"/>
                <w:color w:val="000000"/>
                <w:sz w:val="18"/>
                <w:szCs w:val="18"/>
                <w:lang w:eastAsia="en-AU"/>
              </w:rPr>
              <w:t>(n=3</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1/3</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Tobacco Wholesalers/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Importers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(n=3)</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sidRPr="00C00265">
              <w:rPr>
                <w:color w:val="000000"/>
                <w:sz w:val="18"/>
                <w:szCs w:val="18"/>
                <w:lang w:eastAsia="en-AU"/>
              </w:rPr>
              <w:t>0</w:t>
            </w:r>
            <w:r w:rsidR="00D00A04">
              <w:rPr>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sidRPr="00C00265">
              <w:rPr>
                <w:color w:val="000000"/>
                <w:sz w:val="18"/>
                <w:szCs w:val="18"/>
                <w:lang w:eastAsia="en-AU"/>
              </w:rPr>
              <w:t>3</w:t>
            </w:r>
            <w:r>
              <w:rPr>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Tobacco Retailers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(n=68)</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8/68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50/68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8/68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2/68</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Consumers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(n=412)</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40/412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342/412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25/412</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5/412</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Other</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w:t>
            </w:r>
            <w:r w:rsidR="00554494">
              <w:rPr>
                <w:rFonts w:cs="Times New Roman"/>
                <w:color w:val="000000"/>
                <w:sz w:val="18"/>
                <w:szCs w:val="18"/>
                <w:lang w:eastAsia="en-AU"/>
              </w:rPr>
              <w:t>14</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0</w:t>
            </w:r>
            <w:r w:rsidR="00906901">
              <w:rPr>
                <w:rFonts w:cs="Times New Roman"/>
                <w:color w:val="000000"/>
                <w:sz w:val="18"/>
                <w:szCs w:val="18"/>
                <w:lang w:eastAsia="en-AU"/>
              </w:rPr>
              <w:t>/</w:t>
            </w:r>
            <w:r w:rsidR="00554494">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554494" w:rsidP="0047548A">
            <w:pPr>
              <w:spacing w:after="0"/>
              <w:jc w:val="center"/>
              <w:rPr>
                <w:rFonts w:cs="Times New Roman"/>
                <w:color w:val="000000"/>
                <w:sz w:val="18"/>
                <w:szCs w:val="18"/>
                <w:lang w:eastAsia="en-AU"/>
              </w:rPr>
            </w:pPr>
            <w:r>
              <w:rPr>
                <w:rFonts w:cs="Times New Roman"/>
                <w:color w:val="000000"/>
                <w:sz w:val="18"/>
                <w:szCs w:val="18"/>
                <w:lang w:eastAsia="en-AU"/>
              </w:rPr>
              <w:t>11</w:t>
            </w:r>
            <w:r w:rsidR="0047548A">
              <w:rPr>
                <w:rFonts w:cs="Times New Roman"/>
                <w:color w:val="000000"/>
                <w:sz w:val="18"/>
                <w:szCs w:val="18"/>
                <w:lang w:eastAsia="en-AU"/>
              </w:rPr>
              <w:t>/</w:t>
            </w:r>
            <w:r>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3/</w:t>
            </w:r>
            <w:r w:rsidR="00554494">
              <w:rPr>
                <w:rFonts w:cs="Times New Roman"/>
                <w:color w:val="000000"/>
                <w:sz w:val="18"/>
                <w:szCs w:val="18"/>
                <w:lang w:eastAsia="en-AU"/>
              </w:rPr>
              <w:t>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0</w:t>
            </w:r>
            <w:r w:rsidR="00906901">
              <w:rPr>
                <w:rFonts w:cs="Times New Roman"/>
                <w:color w:val="000000"/>
                <w:sz w:val="18"/>
                <w:szCs w:val="18"/>
                <w:lang w:eastAsia="en-AU"/>
              </w:rPr>
              <w:t>/</w:t>
            </w:r>
            <w:r w:rsidR="00554494">
              <w:rPr>
                <w:rFonts w:cs="Times New Roman"/>
                <w:color w:val="000000"/>
                <w:sz w:val="18"/>
                <w:szCs w:val="18"/>
                <w:lang w:eastAsia="en-AU"/>
              </w:rPr>
              <w:t>14</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Unspecified</w:t>
            </w:r>
          </w:p>
          <w:p w:rsidR="0047548A" w:rsidRPr="00FE7970" w:rsidRDefault="0047548A" w:rsidP="0047548A">
            <w:pPr>
              <w:spacing w:before="0" w:after="0"/>
              <w:rPr>
                <w:rFonts w:cs="Times New Roman"/>
                <w:color w:val="000000"/>
                <w:sz w:val="18"/>
                <w:szCs w:val="18"/>
                <w:lang w:eastAsia="en-AU"/>
              </w:rPr>
            </w:pPr>
            <w:r>
              <w:rPr>
                <w:rFonts w:cs="Times New Roman"/>
                <w:color w:val="000000"/>
                <w:sz w:val="18"/>
                <w:szCs w:val="18"/>
                <w:lang w:eastAsia="en-AU"/>
              </w:rPr>
              <w:t>(n= 10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sidRPr="00C00265">
              <w:rPr>
                <w:color w:val="000000"/>
                <w:sz w:val="18"/>
                <w:szCs w:val="18"/>
                <w:lang w:eastAsia="en-AU"/>
              </w:rPr>
              <w:t>1</w:t>
            </w:r>
            <w:r>
              <w:rPr>
                <w:color w:val="000000"/>
                <w:sz w:val="18"/>
                <w:szCs w:val="18"/>
                <w:lang w:eastAsia="en-AU"/>
              </w:rPr>
              <w:t>/10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Pr>
                <w:color w:val="000000"/>
                <w:sz w:val="18"/>
                <w:szCs w:val="18"/>
                <w:lang w:eastAsia="en-AU"/>
              </w:rPr>
              <w:t>8/10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sidRPr="00C00265">
              <w:rPr>
                <w:color w:val="000000"/>
                <w:sz w:val="18"/>
                <w:szCs w:val="18"/>
                <w:lang w:eastAsia="en-AU"/>
              </w:rPr>
              <w:t>1</w:t>
            </w:r>
            <w:r>
              <w:rPr>
                <w:color w:val="000000"/>
                <w:sz w:val="18"/>
                <w:szCs w:val="18"/>
                <w:lang w:eastAsia="en-AU"/>
              </w:rPr>
              <w:t>/10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C00265" w:rsidRDefault="0047548A" w:rsidP="0047548A">
            <w:pPr>
              <w:spacing w:after="0"/>
              <w:jc w:val="center"/>
              <w:rPr>
                <w:rFonts w:cs="Times New Roman"/>
                <w:color w:val="000000"/>
                <w:sz w:val="18"/>
                <w:szCs w:val="18"/>
                <w:lang w:eastAsia="en-AU"/>
              </w:rPr>
            </w:pPr>
            <w:r w:rsidRPr="00C00265">
              <w:rPr>
                <w:color w:val="000000"/>
                <w:sz w:val="18"/>
                <w:szCs w:val="18"/>
                <w:lang w:eastAsia="en-AU"/>
              </w:rPr>
              <w:t>0</w:t>
            </w:r>
            <w:r w:rsidR="002A16A7">
              <w:rPr>
                <w:color w:val="000000"/>
                <w:sz w:val="18"/>
                <w:szCs w:val="18"/>
                <w:lang w:eastAsia="en-AU"/>
              </w:rPr>
              <w:t>/10</w:t>
            </w:r>
          </w:p>
        </w:tc>
      </w:tr>
    </w:tbl>
    <w:p w:rsidR="0073580B" w:rsidRPr="0044799A" w:rsidRDefault="0073580B" w:rsidP="0073580B">
      <w:pPr>
        <w:pStyle w:val="Heading4"/>
      </w:pPr>
      <w:r w:rsidRPr="0044799A">
        <w:t xml:space="preserve">Qualitative </w:t>
      </w:r>
      <w:r w:rsidR="0060225B">
        <w:t>responses</w:t>
      </w:r>
    </w:p>
    <w:p w:rsidR="0073580B" w:rsidRPr="005A04D5" w:rsidRDefault="001B7DFB" w:rsidP="00FE28CF">
      <w:pPr>
        <w:spacing w:before="80" w:after="80"/>
        <w:rPr>
          <w:rFonts w:cs="Times New Roman"/>
        </w:rPr>
      </w:pPr>
      <w:r>
        <w:rPr>
          <w:rFonts w:cs="Times New Roman"/>
        </w:rPr>
        <w:t>Qualitative responses (those that aligned with the consultation protocol and those that did not align with the consultation protocol) from all organisations and individual stakeholders were</w:t>
      </w:r>
      <w:r w:rsidRPr="0044799A">
        <w:rPr>
          <w:rFonts w:cs="Times New Roman"/>
        </w:rPr>
        <w:t xml:space="preserve"> </w:t>
      </w:r>
      <w:r w:rsidRPr="0044799A">
        <w:rPr>
          <w:rFonts w:cs="Times New Roman"/>
        </w:rPr>
        <w:lastRenderedPageBreak/>
        <w:t xml:space="preserve">analysed and then </w:t>
      </w:r>
      <w:r>
        <w:rPr>
          <w:rFonts w:cs="Times New Roman"/>
        </w:rPr>
        <w:t xml:space="preserve">presented below </w:t>
      </w:r>
      <w:r w:rsidRPr="008D3757">
        <w:rPr>
          <w:rFonts w:cs="Times New Roman"/>
        </w:rPr>
        <w:t>according to</w:t>
      </w:r>
      <w:r>
        <w:rPr>
          <w:rFonts w:cs="Times New Roman"/>
        </w:rPr>
        <w:t xml:space="preserve"> </w:t>
      </w:r>
      <w:r w:rsidR="00FE28CF">
        <w:rPr>
          <w:rFonts w:cs="Times New Roman"/>
        </w:rPr>
        <w:t xml:space="preserve">one major theme which </w:t>
      </w:r>
      <w:r w:rsidR="005A04D5">
        <w:rPr>
          <w:rFonts w:cs="Times New Roman"/>
        </w:rPr>
        <w:t xml:space="preserve">included </w:t>
      </w:r>
      <w:r w:rsidR="0073580B" w:rsidRPr="009A3251">
        <w:t>the ability of the retail packaging of tobacco products to mislead consumers</w:t>
      </w:r>
      <w:r w:rsidR="00FE28CF">
        <w:t>.</w:t>
      </w:r>
    </w:p>
    <w:p w:rsidR="00B5048E" w:rsidRDefault="002E0969" w:rsidP="00976F59">
      <w:pPr>
        <w:pStyle w:val="Heading5"/>
      </w:pPr>
      <w:bookmarkStart w:id="84" w:name="_Toc422478378"/>
      <w:bookmarkStart w:id="85" w:name="_Toc418420310"/>
      <w:bookmarkStart w:id="86" w:name="_Toc418770493"/>
      <w:r>
        <w:t>T</w:t>
      </w:r>
      <w:r w:rsidRPr="00351F05">
        <w:t>he ability of the retail packaging of tobacco products to mislead consumers</w:t>
      </w:r>
      <w:bookmarkEnd w:id="84"/>
    </w:p>
    <w:p w:rsidR="005A04D5" w:rsidRPr="000510F9" w:rsidRDefault="005A04D5" w:rsidP="005A04D5">
      <w:pPr>
        <w:spacing w:before="60" w:after="60"/>
      </w:pPr>
      <w:r>
        <w:t>Public health organisation</w:t>
      </w:r>
      <w:r w:rsidRPr="004F76E3">
        <w:t xml:space="preserve"> and </w:t>
      </w:r>
      <w:r>
        <w:t xml:space="preserve">expert </w:t>
      </w:r>
      <w:r>
        <w:rPr>
          <w:szCs w:val="20"/>
        </w:rPr>
        <w:t>stakeholder/s</w:t>
      </w:r>
      <w:r>
        <w:t xml:space="preserve">, government department </w:t>
      </w:r>
      <w:r>
        <w:rPr>
          <w:szCs w:val="20"/>
        </w:rPr>
        <w:t>stakeholder/s</w:t>
      </w:r>
      <w:r>
        <w:t xml:space="preserve">, and health related NGO </w:t>
      </w:r>
      <w:r>
        <w:rPr>
          <w:szCs w:val="20"/>
        </w:rPr>
        <w:t>stakeholder/s</w:t>
      </w:r>
      <w:r w:rsidRPr="004F76E3">
        <w:t xml:space="preserve"> </w:t>
      </w:r>
      <w:proofErr w:type="gramStart"/>
      <w:r>
        <w:t>who</w:t>
      </w:r>
      <w:proofErr w:type="gramEnd"/>
      <w:r>
        <w:t xml:space="preserve"> provided positive ratings </w:t>
      </w:r>
      <w:r w:rsidRPr="00F240A8">
        <w:t xml:space="preserve">cited </w:t>
      </w:r>
      <w:r>
        <w:t>the f</w:t>
      </w:r>
      <w:r w:rsidR="0060225B">
        <w:t>ollowing peer reviewed sources:</w:t>
      </w:r>
    </w:p>
    <w:p w:rsidR="005A04D5" w:rsidRPr="0017642F" w:rsidRDefault="005A04D5" w:rsidP="00EC02D0">
      <w:pPr>
        <w:pStyle w:val="Bullet"/>
        <w:spacing w:before="60" w:after="60"/>
      </w:pPr>
      <w:r>
        <w:rPr>
          <w:rFonts w:eastAsia="Calibri" w:cs="Times New Roman"/>
          <w:bCs/>
          <w:szCs w:val="22"/>
          <w:lang w:eastAsia="en-AU"/>
        </w:rPr>
        <w:t xml:space="preserve">Wakefield et al, 2015, a peer reviewed article, which was cited as </w:t>
      </w:r>
      <w:r w:rsidR="00C34E0E">
        <w:t>showing</w:t>
      </w:r>
      <w:r>
        <w:rPr>
          <w:rFonts w:eastAsia="Calibri" w:cs="Times New Roman"/>
          <w:bCs/>
          <w:szCs w:val="22"/>
          <w:lang w:eastAsia="en-AU"/>
        </w:rPr>
        <w:t xml:space="preserve"> that </w:t>
      </w:r>
      <w:r w:rsidRPr="0017642F">
        <w:rPr>
          <w:rFonts w:eastAsia="Calibri" w:cs="Times New Roman"/>
          <w:bCs/>
          <w:szCs w:val="22"/>
          <w:lang w:eastAsia="en-AU"/>
        </w:rPr>
        <w:t xml:space="preserve">more smokers </w:t>
      </w:r>
      <w:r>
        <w:rPr>
          <w:rFonts w:eastAsia="Calibri" w:cs="Times New Roman"/>
          <w:bCs/>
          <w:szCs w:val="22"/>
          <w:lang w:eastAsia="en-AU"/>
        </w:rPr>
        <w:t>believed</w:t>
      </w:r>
      <w:r w:rsidRPr="0017642F">
        <w:rPr>
          <w:rFonts w:eastAsia="Calibri" w:cs="Times New Roman"/>
          <w:bCs/>
          <w:szCs w:val="22"/>
          <w:lang w:eastAsia="en-AU"/>
        </w:rPr>
        <w:t xml:space="preserve"> that brands do not differ in harmfulness after the introduction </w:t>
      </w:r>
      <w:r>
        <w:rPr>
          <w:rFonts w:eastAsia="Calibri" w:cs="Times New Roman"/>
          <w:bCs/>
          <w:szCs w:val="22"/>
          <w:lang w:eastAsia="en-AU"/>
        </w:rPr>
        <w:t xml:space="preserve">of tobacco plain packaging </w:t>
      </w:r>
      <w:r w:rsidRPr="0017642F">
        <w:rPr>
          <w:rFonts w:eastAsia="Calibri" w:cs="Times New Roman"/>
          <w:bCs/>
          <w:szCs w:val="22"/>
          <w:lang w:eastAsia="en-AU"/>
        </w:rPr>
        <w:t xml:space="preserve">(compared to before </w:t>
      </w:r>
      <w:r>
        <w:rPr>
          <w:rFonts w:eastAsia="Calibri" w:cs="Times New Roman"/>
          <w:bCs/>
          <w:szCs w:val="22"/>
          <w:lang w:eastAsia="en-AU"/>
        </w:rPr>
        <w:t>its introduction)</w:t>
      </w:r>
      <w:r w:rsidR="008F5A08">
        <w:rPr>
          <w:rFonts w:eastAsia="Calibri" w:cs="Times New Roman"/>
          <w:bCs/>
          <w:szCs w:val="22"/>
          <w:lang w:eastAsia="en-AU"/>
        </w:rPr>
        <w:t>; and</w:t>
      </w:r>
    </w:p>
    <w:p w:rsidR="005A04D5" w:rsidRDefault="005A04D5" w:rsidP="00EC02D0">
      <w:pPr>
        <w:pStyle w:val="Bullet"/>
        <w:spacing w:before="60" w:after="60"/>
      </w:pPr>
      <w:r>
        <w:t>White et al, 2</w:t>
      </w:r>
      <w:r w:rsidR="002541B6">
        <w:t>015b</w:t>
      </w:r>
      <w:r>
        <w:t xml:space="preserve">, a peer reviewed article, which was cited as </w:t>
      </w:r>
      <w:r w:rsidR="00C34E0E">
        <w:t>showing</w:t>
      </w:r>
      <w:r>
        <w:t xml:space="preserve"> that plain packaged tobacco products </w:t>
      </w:r>
      <w:r w:rsidRPr="0017642F">
        <w:t>with en</w:t>
      </w:r>
      <w:r>
        <w:t>larged GHWs</w:t>
      </w:r>
      <w:r w:rsidRPr="0017642F">
        <w:t xml:space="preserve"> created more uncertainty about whether there were differences between brands addictive qualities and their ease of being smoked</w:t>
      </w:r>
      <w:r w:rsidR="008F5A08">
        <w:t>.</w:t>
      </w:r>
    </w:p>
    <w:p w:rsidR="00B5048E" w:rsidRPr="00690E37" w:rsidRDefault="0017642F" w:rsidP="009B2BCA">
      <w:pPr>
        <w:spacing w:before="60" w:after="60"/>
        <w:rPr>
          <w:color w:val="000000"/>
          <w:lang w:eastAsia="en-AU"/>
        </w:rPr>
      </w:pPr>
      <w:r w:rsidRPr="008F3E30">
        <w:t>In</w:t>
      </w:r>
      <w:r>
        <w:t xml:space="preserve"> addition to citing these sources,</w:t>
      </w:r>
      <w:r w:rsidR="00636922">
        <w:t xml:space="preserve"> this group believe </w:t>
      </w:r>
      <w:r w:rsidR="00B5048E">
        <w:t>that the removal of branding</w:t>
      </w:r>
      <w:r w:rsidR="00636922">
        <w:t xml:space="preserve"> elements </w:t>
      </w:r>
      <w:r w:rsidR="00B5048E">
        <w:t>from tobacco packaging:</w:t>
      </w:r>
    </w:p>
    <w:p w:rsidR="00B5048E" w:rsidRDefault="00C11A48" w:rsidP="00EC02D0">
      <w:pPr>
        <w:pStyle w:val="Bullet"/>
        <w:spacing w:before="60" w:after="60"/>
      </w:pPr>
      <w:r>
        <w:t>B</w:t>
      </w:r>
      <w:r w:rsidR="00B5048E">
        <w:t>rings the consumer back to reality and to the real health consequences of smoking rather than the images associated with the branding</w:t>
      </w:r>
      <w:r w:rsidR="00636922">
        <w:t xml:space="preserve"> elements</w:t>
      </w:r>
      <w:r w:rsidR="00B5048E">
        <w:t xml:space="preserve"> (e.g. Marlboro man on a horse)</w:t>
      </w:r>
      <w:r>
        <w:t>;</w:t>
      </w:r>
    </w:p>
    <w:p w:rsidR="00B5048E" w:rsidRPr="00D22F3E" w:rsidRDefault="00C11A48" w:rsidP="00EC02D0">
      <w:pPr>
        <w:pStyle w:val="Bullet"/>
        <w:spacing w:before="60" w:after="60"/>
      </w:pPr>
      <w:r>
        <w:t>C</w:t>
      </w:r>
      <w:r w:rsidR="00B5048E">
        <w:t>an no longer give the impression that smoking is acceptable by using colours and text synonymous with good health (e.g. light blue, crisp white, forest green), or describe and use colours on tobacco product</w:t>
      </w:r>
      <w:r w:rsidR="00746DBE">
        <w:t>s</w:t>
      </w:r>
      <w:r w:rsidR="00B5048E">
        <w:t xml:space="preserve"> in such a way that makes them appealing, or arouses interest and brand loyalty</w:t>
      </w:r>
      <w:r>
        <w:t>; and</w:t>
      </w:r>
    </w:p>
    <w:p w:rsidR="00B5048E" w:rsidRDefault="00C11A48" w:rsidP="00EC02D0">
      <w:pPr>
        <w:pStyle w:val="Bullet"/>
        <w:spacing w:before="60" w:after="60"/>
      </w:pPr>
      <w:r>
        <w:t>T</w:t>
      </w:r>
      <w:r w:rsidR="00B5048E">
        <w:t>ogether with health warnings</w:t>
      </w:r>
      <w:r w:rsidR="00746DBE">
        <w:t>,</w:t>
      </w:r>
      <w:r w:rsidR="00B5048E">
        <w:t xml:space="preserve"> highlight</w:t>
      </w:r>
      <w:r w:rsidR="00746DBE">
        <w:t>s</w:t>
      </w:r>
      <w:r w:rsidR="00B85D92">
        <w:t xml:space="preserve"> the Australian</w:t>
      </w:r>
      <w:r w:rsidR="00B5048E">
        <w:t xml:space="preserve"> Government</w:t>
      </w:r>
      <w:r w:rsidR="00B85D92">
        <w:t>’</w:t>
      </w:r>
      <w:r w:rsidR="00B5048E">
        <w:t xml:space="preserve">s stance that tobacco is a unique (and highly dangerous) product which warrants </w:t>
      </w:r>
      <w:r w:rsidR="005D31B2">
        <w:t xml:space="preserve">a </w:t>
      </w:r>
      <w:r w:rsidR="00746DBE">
        <w:t>robust evidence based m</w:t>
      </w:r>
      <w:r w:rsidR="005D31B2">
        <w:t>easure</w:t>
      </w:r>
      <w:r w:rsidR="00B5048E">
        <w:t>, and in this way sends a very clear message to consum</w:t>
      </w:r>
      <w:r w:rsidR="0060225B">
        <w:t>ers that the product is unsafe.</w:t>
      </w:r>
    </w:p>
    <w:p w:rsidR="000A4C10" w:rsidRDefault="00F05107" w:rsidP="009B2BCA">
      <w:pPr>
        <w:spacing w:before="60" w:after="60"/>
      </w:pPr>
      <w:r>
        <w:t xml:space="preserve">Those </w:t>
      </w:r>
      <w:r w:rsidR="00BB3788">
        <w:t>p</w:t>
      </w:r>
      <w:r w:rsidR="00225995">
        <w:t xml:space="preserve">ublic health organisation and expert </w:t>
      </w:r>
      <w:r w:rsidR="00225995">
        <w:rPr>
          <w:szCs w:val="20"/>
        </w:rPr>
        <w:t>stakeholder/s</w:t>
      </w:r>
      <w:r w:rsidR="00BB3788">
        <w:t xml:space="preserve"> w</w:t>
      </w:r>
      <w:r>
        <w:t xml:space="preserve">ho believe that the measure has had a </w:t>
      </w:r>
      <w:r w:rsidRPr="003F4AE4">
        <w:t>modest</w:t>
      </w:r>
      <w:r>
        <w:t xml:space="preserve"> impact, </w:t>
      </w:r>
      <w:r w:rsidR="00B5048E" w:rsidRPr="00A52986">
        <w:t>noted that</w:t>
      </w:r>
      <w:r w:rsidR="00164786">
        <w:t xml:space="preserve"> there is still further action that can be taken </w:t>
      </w:r>
      <w:r w:rsidR="00B5048E">
        <w:t xml:space="preserve">as variant names still remain on packs, and filter venting and flavours allow for </w:t>
      </w:r>
      <w:r w:rsidR="00B5048E" w:rsidRPr="005366B9">
        <w:t>a different smoking experience amongst brands and variants</w:t>
      </w:r>
      <w:r w:rsidR="00B5048E">
        <w:t>.</w:t>
      </w:r>
    </w:p>
    <w:bookmarkEnd w:id="85"/>
    <w:bookmarkEnd w:id="86"/>
    <w:p w:rsidR="00BF39A7" w:rsidRDefault="00BF39A7" w:rsidP="009B2BCA">
      <w:pPr>
        <w:spacing w:before="60" w:after="60"/>
      </w:pPr>
      <w:r w:rsidRPr="000A4C10">
        <w:t xml:space="preserve">The small number of retailers who indicated through </w:t>
      </w:r>
      <w:r w:rsidR="00C34452">
        <w:t>positive ratings</w:t>
      </w:r>
      <w:r w:rsidRPr="000A4C10">
        <w:t xml:space="preserve"> that they believe that the measure has had some or a significant impact on reducing the ability of the retail packaging of tobacco products to mislead consumers either</w:t>
      </w:r>
      <w:r w:rsidR="00B374EE">
        <w:t>:</w:t>
      </w:r>
      <w:r w:rsidRPr="000A4C10">
        <w:t xml:space="preserve"> </w:t>
      </w:r>
      <w:r w:rsidR="00B374EE" w:rsidRPr="000A4C10">
        <w:t xml:space="preserve">noted that </w:t>
      </w:r>
      <w:r w:rsidR="00B374EE">
        <w:t xml:space="preserve">tobacco </w:t>
      </w:r>
      <w:r w:rsidR="00B374EE" w:rsidRPr="000A4C10">
        <w:t>plain packaging is misleading as it does not include nicotine and tar levels</w:t>
      </w:r>
      <w:r w:rsidR="00B374EE">
        <w:t xml:space="preserve"> on packaging; or</w:t>
      </w:r>
      <w:r w:rsidR="00B374EE" w:rsidRPr="000A4C10">
        <w:t xml:space="preserve"> </w:t>
      </w:r>
      <w:r w:rsidRPr="000A4C10">
        <w:t xml:space="preserve">did not provide a </w:t>
      </w:r>
      <w:r w:rsidR="00B85D92">
        <w:t xml:space="preserve">qualitative </w:t>
      </w:r>
      <w:r w:rsidRPr="000A4C10">
        <w:t>response</w:t>
      </w:r>
      <w:r w:rsidR="00025F99">
        <w:t>;</w:t>
      </w:r>
      <w:r w:rsidRPr="000A4C10">
        <w:t xml:space="preserve"> </w:t>
      </w:r>
      <w:r w:rsidR="00B374EE">
        <w:t xml:space="preserve">or </w:t>
      </w:r>
      <w:r w:rsidR="00025F99">
        <w:t>provided a response which did not relate to the objective or that was not relevant to any questions asked as part of the consultation process.</w:t>
      </w:r>
      <w:r w:rsidRPr="000A4C10">
        <w:t xml:space="preserve"> One retailer who thought the measure had a significant impact said that </w:t>
      </w:r>
      <w:r w:rsidR="00B374EE">
        <w:t xml:space="preserve">tobacco </w:t>
      </w:r>
      <w:r w:rsidRPr="000A4C10">
        <w:t xml:space="preserve">plain packaging has successfully reduced </w:t>
      </w:r>
      <w:r w:rsidR="00B85D92">
        <w:t>tobacco companies’</w:t>
      </w:r>
      <w:r w:rsidRPr="000A4C10">
        <w:t xml:space="preserve"> ability to market the product as</w:t>
      </w:r>
      <w:r w:rsidR="000A4C10" w:rsidRPr="000A4C10">
        <w:t xml:space="preserve"> anything o</w:t>
      </w:r>
      <w:r w:rsidR="00B374EE">
        <w:t>ther than what it is.</w:t>
      </w:r>
      <w:r w:rsidRPr="000A4C10">
        <w:t xml:space="preserve"> </w:t>
      </w:r>
      <w:r w:rsidR="00B374EE">
        <w:t>They said that:</w:t>
      </w:r>
      <w:r w:rsidR="00B374EE" w:rsidRPr="000A4C10">
        <w:rPr>
          <w:i/>
        </w:rPr>
        <w:t xml:space="preserve"> “One</w:t>
      </w:r>
      <w:r w:rsidRPr="000A4C10">
        <w:rPr>
          <w:i/>
        </w:rPr>
        <w:t xml:space="preserve"> example would be the Marlboro Man campaign which incorporates arbitrary values.</w:t>
      </w:r>
      <w:r w:rsidR="000A4C10" w:rsidRPr="000A4C10">
        <w:rPr>
          <w:i/>
        </w:rPr>
        <w:t>”</w:t>
      </w:r>
      <w:r w:rsidRPr="000A4C10">
        <w:t xml:space="preserve"> </w:t>
      </w:r>
      <w:r w:rsidR="000A4C10" w:rsidRPr="000A4C10">
        <w:t>They did not provide any further explanation</w:t>
      </w:r>
      <w:r w:rsidR="00B374EE">
        <w:t xml:space="preserve"> of this qualitative response</w:t>
      </w:r>
      <w:r w:rsidR="000A4C10" w:rsidRPr="000A4C10">
        <w:t>.</w:t>
      </w:r>
      <w:r w:rsidR="000A4C10">
        <w:t xml:space="preserve"> </w:t>
      </w:r>
      <w:r w:rsidR="007B7C45">
        <w:t>These stakeholders</w:t>
      </w:r>
      <w:r w:rsidR="007B7C45" w:rsidRPr="007B7C45">
        <w:t xml:space="preserve"> </w:t>
      </w:r>
      <w:r w:rsidR="005A04D5">
        <w:t xml:space="preserve">did </w:t>
      </w:r>
      <w:r w:rsidR="007B7C45" w:rsidRPr="007B7C45">
        <w:t>not cite any sources to support their view.</w:t>
      </w:r>
    </w:p>
    <w:p w:rsidR="00BF39A7" w:rsidRDefault="00E93105" w:rsidP="009B2BCA">
      <w:pPr>
        <w:spacing w:before="60" w:after="60"/>
      </w:pPr>
      <w:r>
        <w:t>Consumers who provided a positive rating</w:t>
      </w:r>
      <w:r w:rsidR="00BF39A7" w:rsidRPr="00BF39A7">
        <w:t xml:space="preserve">: </w:t>
      </w:r>
      <w:r>
        <w:t>said it was based on personal experience; recognised</w:t>
      </w:r>
      <w:r w:rsidRPr="00BF39A7">
        <w:t xml:space="preserve"> that tobacco plain packaging has taken away untrue statements about the effect, flavour and glamour of tobacco</w:t>
      </w:r>
      <w:r w:rsidR="00221768">
        <w:t xml:space="preserve">; reported that it takes maturity to take in the message of the harmful effects of smoking; </w:t>
      </w:r>
      <w:r w:rsidR="00BF39A7" w:rsidRPr="00BF39A7">
        <w:t xml:space="preserve">did not </w:t>
      </w:r>
      <w:r w:rsidR="0075110B">
        <w:t>provide a qualitative response;</w:t>
      </w:r>
      <w:r w:rsidR="00025F99" w:rsidRPr="00E62376">
        <w:t xml:space="preserve"> </w:t>
      </w:r>
      <w:r w:rsidR="00025F99">
        <w:t>provided a response which did not relate to the objective or that was not relevant to any questions asked as part of the consultation process</w:t>
      </w:r>
      <w:r w:rsidR="00BF39A7" w:rsidRPr="00BF39A7">
        <w:t xml:space="preserve">; or their response directly conflicted with their ratings. </w:t>
      </w:r>
      <w:r w:rsidR="005A04D5">
        <w:t>These stakeholders</w:t>
      </w:r>
      <w:r w:rsidR="007B7C45" w:rsidRPr="007B7C45">
        <w:t xml:space="preserve"> did not cite any sources to support their view.</w:t>
      </w:r>
    </w:p>
    <w:p w:rsidR="008A32CE" w:rsidRPr="00DD6536" w:rsidRDefault="00221768" w:rsidP="00D5156B">
      <w:pPr>
        <w:spacing w:before="60" w:after="60"/>
      </w:pPr>
      <w:r>
        <w:lastRenderedPageBreak/>
        <w:t>T</w:t>
      </w:r>
      <w:r w:rsidR="00225995">
        <w:t xml:space="preserve">obacco company </w:t>
      </w:r>
      <w:r w:rsidR="00225995">
        <w:rPr>
          <w:szCs w:val="20"/>
        </w:rPr>
        <w:t>stakeholder/s</w:t>
      </w:r>
      <w:r w:rsidR="003151CC" w:rsidRPr="003151CC">
        <w:t xml:space="preserve">, </w:t>
      </w:r>
      <w:r w:rsidR="003151CC" w:rsidRPr="00BF39A7">
        <w:t xml:space="preserve">retailers, </w:t>
      </w:r>
      <w:r w:rsidR="00690E37" w:rsidRPr="00BF39A7">
        <w:t xml:space="preserve">tobacco </w:t>
      </w:r>
      <w:r w:rsidR="003151CC" w:rsidRPr="00BF39A7">
        <w:t xml:space="preserve">wholesalers and importers, tobacco packaging manufacturers, </w:t>
      </w:r>
      <w:r w:rsidR="00BD2CE7" w:rsidRPr="00BF39A7">
        <w:t xml:space="preserve">non-health related </w:t>
      </w:r>
      <w:r w:rsidR="00A84BBF">
        <w:t xml:space="preserve">NGO </w:t>
      </w:r>
      <w:r w:rsidR="00A84BBF">
        <w:rPr>
          <w:szCs w:val="20"/>
        </w:rPr>
        <w:t>stakeholder/s,</w:t>
      </w:r>
      <w:r w:rsidR="003151CC" w:rsidRPr="00BF39A7">
        <w:t xml:space="preserve"> </w:t>
      </w:r>
      <w:r w:rsidR="008E1F87">
        <w:t>consumers</w:t>
      </w:r>
      <w:r>
        <w:t xml:space="preserve">, stakeholders from the ‘other and unspecified’ category who provided a negative response </w:t>
      </w:r>
      <w:r w:rsidR="003151CC" w:rsidRPr="003151CC">
        <w:t xml:space="preserve">do not believe </w:t>
      </w:r>
      <w:r w:rsidR="00BD2CE7">
        <w:t xml:space="preserve">tobacco </w:t>
      </w:r>
      <w:r w:rsidR="003151CC" w:rsidRPr="003151CC">
        <w:t xml:space="preserve">packaging was misleading prior to the introduction of the measure. </w:t>
      </w:r>
      <w:r w:rsidR="008A32CE">
        <w:t>These stakeholders supported their vi</w:t>
      </w:r>
      <w:r w:rsidR="0060225B">
        <w:t>ews with the following source:</w:t>
      </w:r>
    </w:p>
    <w:p w:rsidR="008A32CE" w:rsidRDefault="008A32CE" w:rsidP="00EC02D0">
      <w:pPr>
        <w:pStyle w:val="Bullet"/>
      </w:pPr>
      <w:r>
        <w:t>A 2015 report by SLG economics which included analysis of t</w:t>
      </w:r>
      <w:r w:rsidRPr="00A640A1">
        <w:t xml:space="preserve">he </w:t>
      </w:r>
      <w:r>
        <w:t>National Tobacco Plain Packaging Tracking Survey (NTPPTS) data which was cited as showing that the survey data does not provide much information about the ability of tobacco plain packaging to mislead about the harm from smoking.</w:t>
      </w:r>
    </w:p>
    <w:p w:rsidR="000A4C10" w:rsidRDefault="00221768" w:rsidP="009B2BCA">
      <w:pPr>
        <w:spacing w:before="60" w:after="60"/>
        <w:rPr>
          <w:szCs w:val="20"/>
        </w:rPr>
      </w:pPr>
      <w:r>
        <w:t xml:space="preserve">Stakeholders </w:t>
      </w:r>
      <w:r w:rsidR="003151CC" w:rsidRPr="003151CC">
        <w:t xml:space="preserve">from these groups </w:t>
      </w:r>
      <w:r w:rsidR="001A7F0C">
        <w:t xml:space="preserve">said </w:t>
      </w:r>
      <w:r w:rsidR="003151CC" w:rsidRPr="003151CC">
        <w:t xml:space="preserve">that prior to </w:t>
      </w:r>
      <w:r w:rsidR="00526F8B">
        <w:t xml:space="preserve">tobacco </w:t>
      </w:r>
      <w:r w:rsidR="003151CC" w:rsidRPr="003151CC">
        <w:t xml:space="preserve">plain packaging, a range of tobacco control measures highlighting the health risks of smoking were already in place </w:t>
      </w:r>
      <w:r w:rsidR="001A7F0C">
        <w:t>(</w:t>
      </w:r>
      <w:r w:rsidR="00862DAA">
        <w:t>including</w:t>
      </w:r>
      <w:r w:rsidR="001A7F0C">
        <w:t xml:space="preserve"> health warnings)</w:t>
      </w:r>
      <w:proofErr w:type="gramStart"/>
      <w:r w:rsidR="003151CC" w:rsidRPr="003151CC">
        <w:t>,</w:t>
      </w:r>
      <w:proofErr w:type="gramEnd"/>
      <w:r w:rsidR="003151CC" w:rsidRPr="003151CC">
        <w:t xml:space="preserve"> thereby addressing any perception</w:t>
      </w:r>
      <w:r w:rsidR="00862DAA">
        <w:t>s</w:t>
      </w:r>
      <w:r w:rsidR="003151CC" w:rsidRPr="003151CC">
        <w:t xml:space="preserve"> that consumers could be misled about the harmful effects of smoking. </w:t>
      </w:r>
      <w:r w:rsidR="00F975C2">
        <w:t>One non-health related</w:t>
      </w:r>
      <w:r w:rsidR="00A33788">
        <w:t xml:space="preserve"> NGO</w:t>
      </w:r>
      <w:r w:rsidR="00583680">
        <w:t xml:space="preserve"> </w:t>
      </w:r>
      <w:r w:rsidR="005759AE">
        <w:t xml:space="preserve">presented their </w:t>
      </w:r>
      <w:r w:rsidR="003C132B">
        <w:t xml:space="preserve">analysis of a </w:t>
      </w:r>
      <w:r w:rsidR="003C132B" w:rsidRPr="003C132B">
        <w:t xml:space="preserve">report prepared for the </w:t>
      </w:r>
      <w:r w:rsidR="00FF5BBC">
        <w:t xml:space="preserve">former </w:t>
      </w:r>
      <w:r w:rsidR="003C132B" w:rsidRPr="003C132B">
        <w:t>Dep</w:t>
      </w:r>
      <w:r w:rsidR="003C132B">
        <w:t>artment of Health and Aged Care</w:t>
      </w:r>
      <w:r w:rsidR="00156C66">
        <w:t xml:space="preserve"> which</w:t>
      </w:r>
      <w:r w:rsidR="00164786">
        <w:rPr>
          <w:szCs w:val="20"/>
        </w:rPr>
        <w:t xml:space="preserve"> </w:t>
      </w:r>
      <w:r w:rsidR="00D8663F">
        <w:rPr>
          <w:szCs w:val="20"/>
        </w:rPr>
        <w:t xml:space="preserve">they </w:t>
      </w:r>
      <w:r w:rsidR="00FB21DC">
        <w:rPr>
          <w:szCs w:val="20"/>
        </w:rPr>
        <w:t>believe</w:t>
      </w:r>
      <w:r w:rsidR="00746DBE">
        <w:rPr>
          <w:szCs w:val="20"/>
        </w:rPr>
        <w:t xml:space="preserve"> </w:t>
      </w:r>
      <w:r w:rsidR="00D8663F">
        <w:rPr>
          <w:szCs w:val="20"/>
        </w:rPr>
        <w:t xml:space="preserve">shows that the health risks associated with smoking are universally </w:t>
      </w:r>
      <w:r w:rsidR="000A4C10">
        <w:rPr>
          <w:szCs w:val="20"/>
        </w:rPr>
        <w:t>known:</w:t>
      </w:r>
    </w:p>
    <w:p w:rsidR="000A4C10" w:rsidRPr="009B2BCA" w:rsidRDefault="00FF5BBC" w:rsidP="00EC02D0">
      <w:pPr>
        <w:pStyle w:val="Bullet"/>
      </w:pPr>
      <w:r w:rsidRPr="00FF5BBC">
        <w:rPr>
          <w:i/>
        </w:rPr>
        <w:t>“</w:t>
      </w:r>
      <w:r w:rsidR="000A4C10" w:rsidRPr="00FF5BBC">
        <w:rPr>
          <w:i/>
        </w:rPr>
        <w:t>In the Evaluation of the health warnings and explanatory messages on tobacco products report by Elliot and Shanahan, commissioned by the Australian Tobacco and Alcohol Strategies Section of the Department of Health and Aged Care, it was found that awareness of the warnings on the front of cigarette packs was virtually universal.  It found that 91% of all smokers surveyed and 98% of non-smokers surveye</w:t>
      </w:r>
      <w:r w:rsidRPr="00FF5BBC">
        <w:rPr>
          <w:i/>
        </w:rPr>
        <w:t>d disagreed with the statement “</w:t>
      </w:r>
      <w:r w:rsidR="000A4C10" w:rsidRPr="00FF5BBC">
        <w:rPr>
          <w:i/>
        </w:rPr>
        <w:t>I don’t think smoking has any real negative</w:t>
      </w:r>
      <w:r w:rsidR="00F975C2" w:rsidRPr="00FF5BBC">
        <w:rPr>
          <w:i/>
        </w:rPr>
        <w:t xml:space="preserve"> effect on your health at all</w:t>
      </w:r>
      <w:r w:rsidR="000A4C10" w:rsidRPr="00FF5BBC">
        <w:rPr>
          <w:i/>
        </w:rPr>
        <w:t>.”</w:t>
      </w:r>
      <w:r w:rsidRPr="00FF5BBC">
        <w:rPr>
          <w:i/>
        </w:rPr>
        <w:t>”</w:t>
      </w:r>
      <w:r>
        <w:t xml:space="preserve"> </w:t>
      </w:r>
      <w:r w:rsidR="00B33DC6">
        <w:t>(</w:t>
      </w:r>
      <w:r>
        <w:t>Industry</w:t>
      </w:r>
      <w:r w:rsidR="00B33DC6">
        <w:t xml:space="preserve"> analysis of a </w:t>
      </w:r>
      <w:r w:rsidR="003C132B">
        <w:t>report prepared by Elliott and Shanahan Research [October, 2000] for the Department of Health and Aged Care</w:t>
      </w:r>
      <w:r w:rsidR="00B33DC6">
        <w:t>)</w:t>
      </w:r>
      <w:r w:rsidR="003C132B">
        <w:t>.</w:t>
      </w:r>
    </w:p>
    <w:p w:rsidR="008A32CE" w:rsidRDefault="003151CC" w:rsidP="008E3AC6">
      <w:pPr>
        <w:spacing w:before="60" w:after="60"/>
      </w:pPr>
      <w:r w:rsidRPr="003151CC">
        <w:t>Fu</w:t>
      </w:r>
      <w:r w:rsidR="00A84BBF">
        <w:t xml:space="preserve">rther to this, tobacco company </w:t>
      </w:r>
      <w:r w:rsidR="00A84BBF">
        <w:rPr>
          <w:szCs w:val="20"/>
        </w:rPr>
        <w:t>stakeholder/s</w:t>
      </w:r>
      <w:r w:rsidRPr="003151CC">
        <w:t xml:space="preserve"> </w:t>
      </w:r>
      <w:r w:rsidR="00BB41CE">
        <w:t xml:space="preserve">argued </w:t>
      </w:r>
      <w:r w:rsidRPr="003151CC">
        <w:t xml:space="preserve">that in line with previous requests from the Australian Competition and Consumer Commission (ACCC), they </w:t>
      </w:r>
      <w:r w:rsidR="00B85D92">
        <w:t>believe</w:t>
      </w:r>
      <w:r w:rsidR="005F2732">
        <w:t xml:space="preserve"> they had already </w:t>
      </w:r>
      <w:r w:rsidRPr="003151CC">
        <w:t>stopped using packaging elements which were seen to potentially mislead co</w:t>
      </w:r>
      <w:r w:rsidR="0060225B">
        <w:t>nsumers about tobacco products.</w:t>
      </w:r>
    </w:p>
    <w:p w:rsidR="008E3AC6" w:rsidRDefault="003151CC" w:rsidP="008E3AC6">
      <w:pPr>
        <w:spacing w:before="60" w:after="60"/>
        <w:rPr>
          <w:szCs w:val="20"/>
        </w:rPr>
      </w:pPr>
      <w:r w:rsidRPr="003151CC">
        <w:t xml:space="preserve">Many </w:t>
      </w:r>
      <w:r w:rsidR="004348CB">
        <w:t xml:space="preserve">stakeholders </w:t>
      </w:r>
      <w:r w:rsidRPr="003151CC">
        <w:t xml:space="preserve">in this group (consumers, retailers, </w:t>
      </w:r>
      <w:r w:rsidR="006A7A97">
        <w:t xml:space="preserve">tobacco </w:t>
      </w:r>
      <w:r w:rsidRPr="003151CC">
        <w:t>wholesalers and importers)</w:t>
      </w:r>
      <w:r w:rsidR="008F7688">
        <w:t xml:space="preserve"> when asked questions about the ability of tobacco packaging to mislead consumers,</w:t>
      </w:r>
      <w:r w:rsidRPr="003151CC">
        <w:t xml:space="preserve"> responded in relation to </w:t>
      </w:r>
      <w:r w:rsidR="00B85D92">
        <w:t>earlier</w:t>
      </w:r>
      <w:r w:rsidRPr="003151CC">
        <w:t xml:space="preserve"> tobacco control efforts. </w:t>
      </w:r>
      <w:r w:rsidR="008F7688">
        <w:t>For example</w:t>
      </w:r>
      <w:r w:rsidRPr="003151CC">
        <w:t xml:space="preserve">, they </w:t>
      </w:r>
      <w:r w:rsidR="008F7688">
        <w:t>noted</w:t>
      </w:r>
      <w:r w:rsidR="00303440">
        <w:t xml:space="preserve"> that they thought the removal of</w:t>
      </w:r>
      <w:r w:rsidRPr="003151CC">
        <w:t xml:space="preserve"> product information from tobacco packaging (including tar, nicotine </w:t>
      </w:r>
      <w:proofErr w:type="spellStart"/>
      <w:r w:rsidRPr="003151CC">
        <w:t>etc</w:t>
      </w:r>
      <w:proofErr w:type="spellEnd"/>
      <w:r w:rsidRPr="003151CC">
        <w:t xml:space="preserve">) was misleading as </w:t>
      </w:r>
      <w:r w:rsidR="003029D3">
        <w:t xml:space="preserve">they </w:t>
      </w:r>
      <w:r w:rsidR="00FB21DC">
        <w:t>believe</w:t>
      </w:r>
      <w:r w:rsidR="003029D3">
        <w:t xml:space="preserve"> it</w:t>
      </w:r>
      <w:r w:rsidR="00984242">
        <w:t xml:space="preserve"> </w:t>
      </w:r>
      <w:r w:rsidRPr="003151CC">
        <w:t xml:space="preserve">means consumers no longer </w:t>
      </w:r>
      <w:r w:rsidR="008F7688">
        <w:t>know what they are smoking and</w:t>
      </w:r>
      <w:r w:rsidRPr="003151CC">
        <w:t xml:space="preserve"> makes </w:t>
      </w:r>
      <w:r w:rsidRPr="003151CC">
        <w:rPr>
          <w:bCs/>
        </w:rPr>
        <w:t xml:space="preserve">it difficult for those who want to move to lower strength products when trying to quit. </w:t>
      </w:r>
      <w:r w:rsidR="008F7688">
        <w:rPr>
          <w:bCs/>
        </w:rPr>
        <w:t>Additionally, s</w:t>
      </w:r>
      <w:r w:rsidRPr="003151CC">
        <w:rPr>
          <w:bCs/>
        </w:rPr>
        <w:t xml:space="preserve">ome retailers and many </w:t>
      </w:r>
      <w:r w:rsidR="008E1F87">
        <w:rPr>
          <w:bCs/>
        </w:rPr>
        <w:t>consumers</w:t>
      </w:r>
      <w:r w:rsidRPr="003151CC">
        <w:rPr>
          <w:szCs w:val="20"/>
        </w:rPr>
        <w:t xml:space="preserve"> challenged the validity of the </w:t>
      </w:r>
      <w:r w:rsidR="00BE2397">
        <w:rPr>
          <w:szCs w:val="20"/>
        </w:rPr>
        <w:t>GHWs</w:t>
      </w:r>
      <w:r w:rsidRPr="003151CC">
        <w:rPr>
          <w:szCs w:val="20"/>
        </w:rPr>
        <w:t xml:space="preserve">, noting that they believe them to </w:t>
      </w:r>
      <w:r w:rsidR="00B21859">
        <w:rPr>
          <w:szCs w:val="20"/>
        </w:rPr>
        <w:t>be misleading as</w:t>
      </w:r>
      <w:r w:rsidR="006A7A97">
        <w:rPr>
          <w:szCs w:val="20"/>
        </w:rPr>
        <w:t xml:space="preserve"> they are ‘</w:t>
      </w:r>
      <w:r w:rsidRPr="003151CC">
        <w:rPr>
          <w:szCs w:val="20"/>
        </w:rPr>
        <w:t>overstatements of the health consequences of smoking</w:t>
      </w:r>
      <w:r w:rsidR="006A7A97">
        <w:rPr>
          <w:szCs w:val="20"/>
        </w:rPr>
        <w:t>’</w:t>
      </w:r>
      <w:r w:rsidRPr="003151CC">
        <w:rPr>
          <w:szCs w:val="20"/>
        </w:rPr>
        <w:t xml:space="preserve">. </w:t>
      </w:r>
      <w:r w:rsidR="008442D1">
        <w:rPr>
          <w:szCs w:val="20"/>
        </w:rPr>
        <w:t>For example, t</w:t>
      </w:r>
      <w:r w:rsidR="004348CB">
        <w:rPr>
          <w:szCs w:val="20"/>
        </w:rPr>
        <w:t xml:space="preserve">hese stakeholders </w:t>
      </w:r>
      <w:r w:rsidRPr="003151CC">
        <w:rPr>
          <w:szCs w:val="20"/>
        </w:rPr>
        <w:t xml:space="preserve">referred to the health warning which depicts Brian, </w:t>
      </w:r>
      <w:r w:rsidR="00AC1DE4">
        <w:rPr>
          <w:szCs w:val="20"/>
        </w:rPr>
        <w:t>who</w:t>
      </w:r>
      <w:r w:rsidR="008442D1">
        <w:rPr>
          <w:szCs w:val="20"/>
        </w:rPr>
        <w:t xml:space="preserve"> they</w:t>
      </w:r>
      <w:r w:rsidR="00AC1DE4">
        <w:rPr>
          <w:szCs w:val="20"/>
        </w:rPr>
        <w:t xml:space="preserve"> believe</w:t>
      </w:r>
      <w:r w:rsidRPr="003151CC">
        <w:rPr>
          <w:szCs w:val="20"/>
        </w:rPr>
        <w:t xml:space="preserve"> died as a consequence of Acquired Immune Deficiency Syndrome (AIDS), not from tobacco products. </w:t>
      </w:r>
      <w:r w:rsidR="008E3AC6">
        <w:rPr>
          <w:szCs w:val="20"/>
        </w:rPr>
        <w:t xml:space="preserve">A number of stakeholders in this group (consumers, other and unspecified) </w:t>
      </w:r>
      <w:r w:rsidR="00773A8E">
        <w:rPr>
          <w:szCs w:val="20"/>
        </w:rPr>
        <w:t xml:space="preserve">believe that changing the colour of tobacco packaging has not had any impact </w:t>
      </w:r>
      <w:r w:rsidR="008E3AC6" w:rsidRPr="004661A4">
        <w:t xml:space="preserve">on any aspect of </w:t>
      </w:r>
      <w:r w:rsidR="00773A8E" w:rsidRPr="004661A4">
        <w:t>people’s</w:t>
      </w:r>
      <w:r w:rsidR="008E3AC6" w:rsidRPr="004661A4">
        <w:t xml:space="preserve"> actions or life choices</w:t>
      </w:r>
      <w:r w:rsidR="00773A8E">
        <w:t xml:space="preserve"> to smoke.</w:t>
      </w:r>
      <w:r w:rsidR="00773A8E" w:rsidRPr="00773A8E">
        <w:t xml:space="preserve"> They did not cite any sources to support their view.</w:t>
      </w:r>
    </w:p>
    <w:p w:rsidR="00BF39A7" w:rsidRPr="00BF39A7" w:rsidRDefault="00BF39A7" w:rsidP="009B2BCA">
      <w:pPr>
        <w:spacing w:before="60" w:after="60"/>
      </w:pPr>
      <w:r w:rsidRPr="00BF39A7">
        <w:t xml:space="preserve">The small number of consumers who indicated that they were </w:t>
      </w:r>
      <w:r w:rsidR="00040406">
        <w:t>‘</w:t>
      </w:r>
      <w:r w:rsidRPr="00BF39A7">
        <w:t>unsure</w:t>
      </w:r>
      <w:r w:rsidR="00040406">
        <w:t>’</w:t>
      </w:r>
      <w:r w:rsidRPr="00BF39A7">
        <w:t xml:space="preserve"> whether the measure had had an impact either provided no response or </w:t>
      </w:r>
      <w:r w:rsidR="0075110B">
        <w:t>provided a response which did not relate to the objective</w:t>
      </w:r>
      <w:r w:rsidRPr="00BF39A7">
        <w:t xml:space="preserve">. One consumer (who identified as a smoker) noted that they were aware that low nicotine cigarettes are equally as dangerous as cigarettes with higher concentration of nicotine but indicated that they were unsure whether other people were aware of this. </w:t>
      </w:r>
      <w:r w:rsidR="00040406" w:rsidRPr="00040406">
        <w:t>They did not cite any sources to support their view.</w:t>
      </w:r>
    </w:p>
    <w:p w:rsidR="00EE43CB" w:rsidRPr="00C23FAF" w:rsidRDefault="00BF39A7" w:rsidP="009B2BCA">
      <w:pPr>
        <w:spacing w:before="60" w:after="60"/>
      </w:pPr>
      <w:r w:rsidRPr="00BF39A7">
        <w:lastRenderedPageBreak/>
        <w:t>Those retailers</w:t>
      </w:r>
      <w:r w:rsidR="00D5104B">
        <w:t xml:space="preserve"> and stakeholders from ‘other and unspecified’ categories</w:t>
      </w:r>
      <w:r w:rsidRPr="00BF39A7">
        <w:t xml:space="preserve"> who indicated they </w:t>
      </w:r>
      <w:r w:rsidRPr="00C23FAF">
        <w:t>were ‘unsure’ did not provide a qualitative response.</w:t>
      </w:r>
    </w:p>
    <w:p w:rsidR="007056D4" w:rsidRPr="00C23FAF" w:rsidRDefault="00175D16" w:rsidP="00D06FF2">
      <w:pPr>
        <w:spacing w:before="60" w:after="60"/>
      </w:pPr>
      <w:r>
        <w:t>Table 8</w:t>
      </w:r>
      <w:r w:rsidR="007056D4" w:rsidRPr="00C23FAF">
        <w:t xml:space="preserve"> presents a sample of stakeholder views across groups in order to ill</w:t>
      </w:r>
      <w:r w:rsidR="0060225B">
        <w:t>ustrate the diversity of views.</w:t>
      </w:r>
    </w:p>
    <w:p w:rsidR="007056D4" w:rsidRPr="00BC2BBC" w:rsidRDefault="00175D16" w:rsidP="005A034D">
      <w:pPr>
        <w:pStyle w:val="TblHeading"/>
        <w:spacing w:before="240"/>
      </w:pPr>
      <w:proofErr w:type="gramStart"/>
      <w:r>
        <w:t>Table 8</w:t>
      </w:r>
      <w:r w:rsidR="007056D4" w:rsidRPr="00C23FAF">
        <w:t>.</w:t>
      </w:r>
      <w:proofErr w:type="gramEnd"/>
      <w:r w:rsidR="007056D4" w:rsidRPr="00AB1066">
        <w:t xml:space="preserve"> </w:t>
      </w:r>
      <w:r w:rsidR="00843A11" w:rsidRPr="00843A11">
        <w:t xml:space="preserve">Examples of stakeholder views </w:t>
      </w:r>
    </w:p>
    <w:p w:rsidR="00A45C14" w:rsidRPr="006A4253"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2"/>
        </w:rPr>
      </w:pPr>
      <w:r w:rsidRPr="006A4253">
        <w:rPr>
          <w:szCs w:val="22"/>
        </w:rPr>
        <w:t xml:space="preserve">“The packaging could give the impression to consumers or potential smokers that smoking is ok, that it is not bad for you, but once you have got the warnings and pictures and tobacco plain packaging there is nothing left to give that impression really.” </w:t>
      </w:r>
      <w:r w:rsidRPr="00BE2397">
        <w:rPr>
          <w:szCs w:val="22"/>
        </w:rPr>
        <w:t>(Public health organisation/expert)</w:t>
      </w:r>
    </w:p>
    <w:p w:rsidR="00A45C14" w:rsidRPr="006A4253"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2"/>
        </w:rPr>
      </w:pPr>
      <w:r w:rsidRPr="006A4253">
        <w:rPr>
          <w:szCs w:val="22"/>
        </w:rPr>
        <w:t xml:space="preserve"> “...it is inaccurate to say when you suck or [sic] on this burning matter or vegetable, you would be transported to a tropical island while in fact it will damage your lungs circulation and health. </w:t>
      </w:r>
      <w:proofErr w:type="gramStart"/>
      <w:r w:rsidRPr="006A4253">
        <w:rPr>
          <w:szCs w:val="22"/>
        </w:rPr>
        <w:t>By putting the direct effect of smoking on the package and allowing that to communicate clearly to consumer, it is actually reducing the ability to mislead consumers.”</w:t>
      </w:r>
      <w:proofErr w:type="gramEnd"/>
      <w:r w:rsidRPr="006A4253">
        <w:rPr>
          <w:szCs w:val="22"/>
        </w:rPr>
        <w:t xml:space="preserve"> </w:t>
      </w:r>
      <w:r w:rsidRPr="00BE2397">
        <w:rPr>
          <w:szCs w:val="22"/>
        </w:rPr>
        <w:t>(Public health organisation/expert)</w:t>
      </w:r>
    </w:p>
    <w:p w:rsidR="00A45C14" w:rsidRPr="006A4253"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2"/>
        </w:rPr>
      </w:pPr>
      <w:r w:rsidRPr="006A4253">
        <w:rPr>
          <w:szCs w:val="22"/>
        </w:rPr>
        <w:t xml:space="preserve"> “A lot of progress on removing misleading things on packs like ‘light’ and ‘mild’ labels had already been done ahead of this [plain packaging], so it is a continuation of what has been done but I’m not sure it’s a big leap because </w:t>
      </w:r>
      <w:r>
        <w:rPr>
          <w:szCs w:val="22"/>
        </w:rPr>
        <w:t xml:space="preserve">of what has already happened.” </w:t>
      </w:r>
      <w:r w:rsidRPr="00BE2397">
        <w:rPr>
          <w:szCs w:val="22"/>
        </w:rPr>
        <w:t>(Public health organisation/expert)</w:t>
      </w:r>
    </w:p>
    <w:p w:rsidR="00A45C14"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2"/>
        </w:rPr>
      </w:pPr>
      <w:r w:rsidRPr="006A4253">
        <w:rPr>
          <w:szCs w:val="22"/>
        </w:rPr>
        <w:t>“To the extent that tobacco plain packaging went, it’s probably been as effective as it could have been while those variant names are still on the pack.”</w:t>
      </w:r>
      <w:r>
        <w:rPr>
          <w:szCs w:val="20"/>
        </w:rPr>
        <w:t xml:space="preserve"> (Public health organisation/expert)</w:t>
      </w:r>
    </w:p>
    <w:p w:rsidR="00A45C14" w:rsidRPr="00BE2397" w:rsidRDefault="00A45C14" w:rsidP="00A45C14">
      <w:pPr>
        <w:pBdr>
          <w:top w:val="single" w:sz="4" w:space="1" w:color="auto"/>
          <w:left w:val="single" w:sz="4" w:space="4" w:color="auto"/>
          <w:bottom w:val="single" w:sz="4" w:space="1" w:color="auto"/>
          <w:right w:val="single" w:sz="4" w:space="4" w:color="auto"/>
        </w:pBdr>
        <w:shd w:val="clear" w:color="auto" w:fill="DBE5F1" w:themeFill="accent1" w:themeFillTint="33"/>
        <w:spacing w:before="60" w:after="60"/>
        <w:rPr>
          <w:sz w:val="22"/>
        </w:rPr>
      </w:pPr>
      <w:r w:rsidRPr="00BE2397">
        <w:rPr>
          <w:i/>
          <w:sz w:val="22"/>
        </w:rPr>
        <w:t>“while the introduction of plain packaging stopped the tobacco industry from being able to use colour of the pack as an indicator of ‘strength’ of the product, the legislation did not stop companies from putting variant names on the packs so terms such as ‘smooth’ and ‘rich’ which were familiar to smokers remained along with their differing connotations of strength of product. In addition tobacco companies began to incorporate the previous colour of the pack into the variant name such as Marlboro Silver Fine Scent reinforcing the previous misperception that products differ in relation to their strength. Another tactic was to reregister the variant name as part of the brand name so as to allow the variant name to appear with the brand name in larger font on the pack, for example Marlboro Red became the trademarked brand name. The new legislation also did not address the design or content of the products themselves, so features such as filter venting and flavours which increase palatability of tobacco remained, providing a different smoking experience amongst brands and variants. With variant names still being allowed and the tobacco industry’s exploitation of this exception, the achievement of this objective would have undoubtedly been made more difficult.”</w:t>
      </w:r>
      <w:r>
        <w:rPr>
          <w:i/>
          <w:sz w:val="22"/>
        </w:rPr>
        <w:t xml:space="preserve"> </w:t>
      </w:r>
      <w:r w:rsidRPr="00BE2397">
        <w:rPr>
          <w:i/>
          <w:sz w:val="22"/>
        </w:rPr>
        <w:t>(Public health organisation/expert)</w:t>
      </w:r>
    </w:p>
    <w:p w:rsidR="00A45C14" w:rsidRPr="006A4253"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2"/>
        </w:rPr>
      </w:pPr>
      <w:r w:rsidRPr="006A4253">
        <w:rPr>
          <w:szCs w:val="22"/>
        </w:rPr>
        <w:t xml:space="preserve"> “You’re not on a horse on top of a hill you’re looking at a picture of someone’s gangrenous foot. What the message is whether the message is a direct, verbal message from the tobacco industry or an image from the tobacco industry you’re</w:t>
      </w:r>
      <w:r>
        <w:rPr>
          <w:szCs w:val="22"/>
        </w:rPr>
        <w:t xml:space="preserve"> less likely to be misled.</w:t>
      </w:r>
      <w:r w:rsidRPr="006A4253">
        <w:rPr>
          <w:szCs w:val="22"/>
        </w:rPr>
        <w:t xml:space="preserve"> </w:t>
      </w:r>
      <w:r w:rsidRPr="00BE2397">
        <w:rPr>
          <w:szCs w:val="22"/>
        </w:rPr>
        <w:t>(</w:t>
      </w:r>
      <w:r>
        <w:rPr>
          <w:szCs w:val="22"/>
        </w:rPr>
        <w:t>H</w:t>
      </w:r>
      <w:r w:rsidRPr="00BE2397">
        <w:rPr>
          <w:szCs w:val="22"/>
        </w:rPr>
        <w:t>ealth</w:t>
      </w:r>
      <w:r>
        <w:rPr>
          <w:szCs w:val="22"/>
        </w:rPr>
        <w:t xml:space="preserve"> related</w:t>
      </w:r>
      <w:r w:rsidRPr="00BE2397">
        <w:rPr>
          <w:szCs w:val="22"/>
        </w:rPr>
        <w:t xml:space="preserve"> NGO)</w:t>
      </w:r>
    </w:p>
    <w:p w:rsidR="00A45C14" w:rsidRPr="006A4253"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2"/>
        </w:rPr>
      </w:pPr>
      <w:r w:rsidRPr="006A4253">
        <w:rPr>
          <w:szCs w:val="22"/>
        </w:rPr>
        <w:t xml:space="preserve"> “Tobacco products prior to tobacco plain packaging did not mislead consumers on the harmful effects, therefore this question is moot.”</w:t>
      </w:r>
      <w:r>
        <w:t xml:space="preserve"> </w:t>
      </w:r>
      <w:r w:rsidRPr="00BE2397">
        <w:rPr>
          <w:szCs w:val="22"/>
        </w:rPr>
        <w:t xml:space="preserve">(Non health </w:t>
      </w:r>
      <w:r>
        <w:rPr>
          <w:szCs w:val="22"/>
        </w:rPr>
        <w:t xml:space="preserve">related </w:t>
      </w:r>
      <w:r w:rsidRPr="00BE2397">
        <w:rPr>
          <w:szCs w:val="22"/>
        </w:rPr>
        <w:t>NGO)</w:t>
      </w:r>
    </w:p>
    <w:p w:rsidR="00A45C14" w:rsidRPr="006A4253"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2"/>
        </w:rPr>
      </w:pPr>
      <w:r w:rsidRPr="006A4253">
        <w:rPr>
          <w:szCs w:val="22"/>
        </w:rPr>
        <w:t xml:space="preserve"> “Given the restrictions already in place regulating the sale of legal tobacco prior to plain packaging, the capacity for tobacco plain packaging to reduce the ability of retail packaging to mislead consumers about the effects of smoking was always going to be minimal, indeed if such capacity existed at all.”</w:t>
      </w:r>
      <w:r>
        <w:rPr>
          <w:szCs w:val="22"/>
        </w:rPr>
        <w:t xml:space="preserve"> (Retailer)</w:t>
      </w:r>
    </w:p>
    <w:p w:rsidR="00A45C14" w:rsidRPr="006A4253"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2"/>
        </w:rPr>
      </w:pPr>
      <w:r w:rsidRPr="006A4253">
        <w:rPr>
          <w:szCs w:val="22"/>
        </w:rPr>
        <w:t xml:space="preserve">“This question implies that previous branding on tobacco products sought to mislead consumers about their effects. From the retail perspective, tobacco branding was focused on product identity and did not equate to promoting that smoking is not harmful. </w:t>
      </w:r>
      <w:proofErr w:type="gramStart"/>
      <w:r w:rsidRPr="006A4253">
        <w:rPr>
          <w:szCs w:val="22"/>
        </w:rPr>
        <w:t>Large warning signs that ‘Smoking kills’ have been evident in retail outlets for a number of years.”</w:t>
      </w:r>
      <w:proofErr w:type="gramEnd"/>
      <w:r>
        <w:rPr>
          <w:szCs w:val="22"/>
        </w:rPr>
        <w:t xml:space="preserve"> (Retailer)</w:t>
      </w:r>
    </w:p>
    <w:p w:rsidR="00A45C14" w:rsidRPr="006A4253"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2"/>
        </w:rPr>
      </w:pPr>
      <w:r w:rsidRPr="006A4253">
        <w:rPr>
          <w:szCs w:val="22"/>
        </w:rPr>
        <w:t xml:space="preserve">“…, tobacco product branding was already subject to large </w:t>
      </w:r>
      <w:r>
        <w:rPr>
          <w:szCs w:val="22"/>
        </w:rPr>
        <w:t>GHWs</w:t>
      </w:r>
      <w:r w:rsidRPr="006A4253">
        <w:rPr>
          <w:szCs w:val="22"/>
        </w:rPr>
        <w:t xml:space="preserve">, nullifying any potential for it to mislead consumers about the harmful effects of smoking.” </w:t>
      </w:r>
      <w:r>
        <w:rPr>
          <w:szCs w:val="22"/>
        </w:rPr>
        <w:t>(Retailer)</w:t>
      </w:r>
    </w:p>
    <w:p w:rsidR="005A034D" w:rsidRPr="006A4253"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2"/>
        </w:rPr>
      </w:pPr>
      <w:r w:rsidRPr="006A4253">
        <w:rPr>
          <w:szCs w:val="22"/>
        </w:rPr>
        <w:t>“Branded packaging has never, to my experience shown any misleading content regarding the safety of the product.”</w:t>
      </w:r>
      <w:r>
        <w:rPr>
          <w:szCs w:val="22"/>
        </w:rPr>
        <w:t xml:space="preserve"> (Retailer)</w:t>
      </w:r>
    </w:p>
    <w:p w:rsidR="00A45C14"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2"/>
        </w:rPr>
      </w:pPr>
      <w:r w:rsidRPr="006A4253">
        <w:rPr>
          <w:szCs w:val="22"/>
        </w:rPr>
        <w:lastRenderedPageBreak/>
        <w:t xml:space="preserve">“I don’t think any of that [packets with variants like ‘smooth’] would have contribute to misleading customers about the harmful effects of smoking generally which I think going through the 80’s and 90’s there was obviously a very conscientious and significant health warning process of trying to educate people about the harmful effects of cigarettes. Whether or not words like ‘smooth’ and the likes, the labelling of packets would actually tend to mislead a reasonable consumer about health effects </w:t>
      </w:r>
      <w:r>
        <w:rPr>
          <w:szCs w:val="22"/>
        </w:rPr>
        <w:t>regarding tobacco” (Retailer)</w:t>
      </w:r>
    </w:p>
    <w:p w:rsidR="00A45C14" w:rsidRPr="006A4253"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2"/>
        </w:rPr>
      </w:pPr>
      <w:r w:rsidRPr="006A4253">
        <w:rPr>
          <w:szCs w:val="22"/>
        </w:rPr>
        <w:t>“</w:t>
      </w:r>
      <w:proofErr w:type="gramStart"/>
      <w:r w:rsidRPr="006A4253">
        <w:rPr>
          <w:szCs w:val="22"/>
        </w:rPr>
        <w:t>the</w:t>
      </w:r>
      <w:proofErr w:type="gramEnd"/>
      <w:r w:rsidRPr="006A4253">
        <w:rPr>
          <w:szCs w:val="22"/>
        </w:rPr>
        <w:t xml:space="preserve"> adult consumer is not a fool and does not wish to be treated as such. By not having nicotine and tar levels on the packet is misleading.”</w:t>
      </w:r>
      <w:r>
        <w:rPr>
          <w:szCs w:val="22"/>
        </w:rPr>
        <w:t xml:space="preserve"> (Retailer)</w:t>
      </w:r>
    </w:p>
    <w:p w:rsidR="00A45C14" w:rsidRPr="006A4253"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2"/>
        </w:rPr>
      </w:pPr>
      <w:r w:rsidRPr="006A4253">
        <w:rPr>
          <w:szCs w:val="22"/>
        </w:rPr>
        <w:t xml:space="preserve">“The new packaging is probably more misleading, because when we had the strength on the packaging that was telling people what it was.” </w:t>
      </w:r>
      <w:r>
        <w:rPr>
          <w:szCs w:val="22"/>
        </w:rPr>
        <w:t>(Tobacco wholesaler and importer)</w:t>
      </w:r>
    </w:p>
    <w:p w:rsidR="00A45C14" w:rsidRPr="006A4253"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2"/>
        </w:rPr>
      </w:pPr>
      <w:r w:rsidRPr="006A4253">
        <w:rPr>
          <w:szCs w:val="22"/>
        </w:rPr>
        <w:t xml:space="preserve"> “There was no indication that original packaging was misleading consumers about harmful effects. At least, I never perceived there to be.”</w:t>
      </w:r>
      <w:r>
        <w:rPr>
          <w:szCs w:val="22"/>
        </w:rPr>
        <w:t xml:space="preserve"> (Consumer)</w:t>
      </w:r>
    </w:p>
    <w:p w:rsidR="00A45C14"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2"/>
        </w:rPr>
      </w:pPr>
      <w:r w:rsidRPr="006A4253">
        <w:rPr>
          <w:szCs w:val="22"/>
        </w:rPr>
        <w:t xml:space="preserve">“What should be on cigarette packets is the amount of ingredients, chemicals, nicotine </w:t>
      </w:r>
      <w:proofErr w:type="spellStart"/>
      <w:r w:rsidRPr="006A4253">
        <w:rPr>
          <w:szCs w:val="22"/>
        </w:rPr>
        <w:t>etc</w:t>
      </w:r>
      <w:proofErr w:type="spellEnd"/>
      <w:r w:rsidRPr="006A4253">
        <w:rPr>
          <w:szCs w:val="22"/>
        </w:rPr>
        <w:t xml:space="preserve"> so as the consumer is more informed and made aware of what they are smoking, not just what smoking may cause.</w:t>
      </w:r>
      <w:r>
        <w:rPr>
          <w:szCs w:val="22"/>
        </w:rPr>
        <w:t>” (Consumer)</w:t>
      </w:r>
    </w:p>
    <w:p w:rsidR="00A45C14" w:rsidRPr="006A4253" w:rsidRDefault="00A45C14" w:rsidP="00A45C14">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2"/>
        </w:rPr>
      </w:pPr>
      <w:r w:rsidRPr="006A4253">
        <w:rPr>
          <w:szCs w:val="22"/>
        </w:rPr>
        <w:t>“Tobacco companies can no longer fool people into thinking that smoking is good for your health.”</w:t>
      </w:r>
      <w:r>
        <w:rPr>
          <w:szCs w:val="22"/>
        </w:rPr>
        <w:t xml:space="preserve"> (Consumer)</w:t>
      </w:r>
    </w:p>
    <w:p w:rsidR="00A5463C" w:rsidRDefault="00503099" w:rsidP="00493DCB">
      <w:pPr>
        <w:pStyle w:val="Heading3"/>
        <w:rPr>
          <w:i/>
        </w:rPr>
      </w:pPr>
      <w:r>
        <w:br w:type="page"/>
      </w:r>
      <w:bookmarkStart w:id="87" w:name="_Toc426122316"/>
      <w:bookmarkStart w:id="88" w:name="_Toc427306695"/>
      <w:bookmarkStart w:id="89" w:name="_Toc422478370"/>
      <w:bookmarkStart w:id="90" w:name="_Toc418770496"/>
      <w:r w:rsidR="000D21C6">
        <w:lastRenderedPageBreak/>
        <w:t>T</w:t>
      </w:r>
      <w:r w:rsidR="00A5463C">
        <w:t xml:space="preserve">obacco plain packaging </w:t>
      </w:r>
      <w:r w:rsidR="00946E8A">
        <w:t xml:space="preserve">as </w:t>
      </w:r>
      <w:r w:rsidR="00A5463C">
        <w:t>an efficient mechanism</w:t>
      </w:r>
      <w:r w:rsidR="000D21C6">
        <w:t xml:space="preserve"> for achieving the </w:t>
      </w:r>
      <w:r w:rsidR="00946E8A">
        <w:t>intermediate</w:t>
      </w:r>
      <w:r w:rsidR="000D21C6">
        <w:t xml:space="preserve"> objectives </w:t>
      </w:r>
      <w:r w:rsidR="00722579" w:rsidRPr="00722579">
        <w:t>(</w:t>
      </w:r>
      <w:r w:rsidR="005A04D5" w:rsidRPr="00722579">
        <w:t xml:space="preserve">section </w:t>
      </w:r>
      <w:r w:rsidR="00B21859" w:rsidRPr="00722579">
        <w:t>3(2</w:t>
      </w:r>
      <w:r w:rsidR="000D21C6" w:rsidRPr="00722579">
        <w:t>) of the TPP Act</w:t>
      </w:r>
      <w:bookmarkEnd w:id="87"/>
      <w:bookmarkEnd w:id="88"/>
      <w:r w:rsidR="00722579" w:rsidRPr="00722579">
        <w:t>)</w:t>
      </w:r>
    </w:p>
    <w:p w:rsidR="00767191" w:rsidRPr="00767191" w:rsidRDefault="00BF6EDB" w:rsidP="00767191">
      <w:pPr>
        <w:rPr>
          <w:rFonts w:cs="Times New Roman"/>
        </w:rPr>
      </w:pPr>
      <w:r>
        <w:t xml:space="preserve">Stakeholders </w:t>
      </w:r>
      <w:r w:rsidR="008A4A6B" w:rsidRPr="008D52FA">
        <w:t xml:space="preserve">were asked to </w:t>
      </w:r>
      <w:r w:rsidR="008A4A6B" w:rsidRPr="008A4A6B">
        <w:t>provide ratings and qualitative</w:t>
      </w:r>
      <w:r w:rsidR="008A4A6B">
        <w:t xml:space="preserve"> </w:t>
      </w:r>
      <w:r w:rsidR="00767191" w:rsidRPr="00767191">
        <w:rPr>
          <w:rFonts w:cs="Times New Roman"/>
        </w:rPr>
        <w:t>comment on the extent to which they think that the tobacco plain packaging measure, by regulating the retail packaging and appearance of tobacco products, is an efficient mechanism for:</w:t>
      </w:r>
    </w:p>
    <w:p w:rsidR="00767191" w:rsidRPr="00767191" w:rsidRDefault="00C11A48" w:rsidP="00EC02D0">
      <w:pPr>
        <w:pStyle w:val="Bullet"/>
      </w:pPr>
      <w:r>
        <w:t>R</w:t>
      </w:r>
      <w:r w:rsidR="00767191" w:rsidRPr="00767191">
        <w:t>educing the appeal of tobacco products to consumers</w:t>
      </w:r>
      <w:r w:rsidR="003B6E38">
        <w:t>;</w:t>
      </w:r>
    </w:p>
    <w:p w:rsidR="00767191" w:rsidRPr="00767191" w:rsidRDefault="00C11A48" w:rsidP="00EC02D0">
      <w:pPr>
        <w:pStyle w:val="Bullet"/>
      </w:pPr>
      <w:r>
        <w:t>I</w:t>
      </w:r>
      <w:r w:rsidR="00767191" w:rsidRPr="00767191">
        <w:t>ncreasing the effectiveness of health warnings on the retail packaging of tobacco products</w:t>
      </w:r>
      <w:r w:rsidR="003B6E38">
        <w:t>; and</w:t>
      </w:r>
    </w:p>
    <w:p w:rsidR="00767191" w:rsidRPr="00767191" w:rsidRDefault="00C11A48" w:rsidP="00EC02D0">
      <w:pPr>
        <w:pStyle w:val="Bullet"/>
      </w:pPr>
      <w:r>
        <w:t>R</w:t>
      </w:r>
      <w:r w:rsidR="00767191" w:rsidRPr="00767191">
        <w:t>educing the ability of the retail packaging of tobacco products to mislead consumers about the harmful effects of smoking or using tobacco products.</w:t>
      </w:r>
    </w:p>
    <w:p w:rsidR="00767191" w:rsidRPr="00767191" w:rsidRDefault="009B3BE5" w:rsidP="00767191">
      <w:pPr>
        <w:rPr>
          <w:rFonts w:cs="Times New Roman"/>
        </w:rPr>
      </w:pPr>
      <w:r w:rsidRPr="006E351C">
        <w:rPr>
          <w:rFonts w:cs="Times New Roman"/>
        </w:rPr>
        <w:t>Some s</w:t>
      </w:r>
      <w:r w:rsidR="00767191" w:rsidRPr="006E351C">
        <w:rPr>
          <w:rFonts w:cs="Times New Roman"/>
        </w:rPr>
        <w:t>takeholders responded to this question by considering the impact of the tobacco plain packaging measure</w:t>
      </w:r>
      <w:r w:rsidR="00767191" w:rsidRPr="00767191">
        <w:rPr>
          <w:rFonts w:cs="Times New Roman"/>
        </w:rPr>
        <w:t xml:space="preserve"> on their specific stakeholder group and/or other stakeholder groups rather than considering the efficiency of the measure in achieving each of the objectives. The quantitative ratings across the objectives are presented separately for each. However, as there was no material difference between the qualitative comments expressed by stakeholders about the efficiency of the tobacco plain packaging measure we present them once only. </w:t>
      </w:r>
      <w:r w:rsidR="005A7B6A">
        <w:t>The limitations of this data are</w:t>
      </w:r>
      <w:r w:rsidR="0074005B">
        <w:t xml:space="preserve"> discussed </w:t>
      </w:r>
      <w:r w:rsidR="0060225B">
        <w:t>at Section 1.3 of this report.</w:t>
      </w:r>
    </w:p>
    <w:p w:rsidR="007E6EDE" w:rsidRDefault="003E1FF1" w:rsidP="00CB17ED">
      <w:pPr>
        <w:pStyle w:val="Heading4"/>
      </w:pPr>
      <w:r w:rsidRPr="00F81157">
        <w:t>Quantitative ratings</w:t>
      </w:r>
    </w:p>
    <w:p w:rsidR="00C96D1C" w:rsidRPr="00CB17ED" w:rsidRDefault="00C96D1C" w:rsidP="007E6EDE">
      <w:pPr>
        <w:pStyle w:val="Heading5"/>
      </w:pPr>
      <w:r w:rsidRPr="007E6EDE">
        <w:t>Has the measure been an efficient mechanism for reducing the appeal of tobacco products to consumers</w:t>
      </w:r>
    </w:p>
    <w:p w:rsidR="00175D16" w:rsidRPr="00031D1D" w:rsidRDefault="00175D16" w:rsidP="00892EB6">
      <w:r w:rsidRPr="00031D1D">
        <w:t xml:space="preserve">Table 9 presents positive, negative and unsure ratings (and no response) by stakeholder category </w:t>
      </w:r>
      <w:r w:rsidRPr="00031D1D">
        <w:rPr>
          <w:rFonts w:cs="Times New Roman"/>
          <w:bCs/>
        </w:rPr>
        <w:t>for those stakeholders who participated in the consultation process using the consultation protocol only</w:t>
      </w:r>
      <w:r w:rsidRPr="00031D1D">
        <w:t>. This allows the reader to identify the stakeholder groups who gave each type of rating and the distribution of rat</w:t>
      </w:r>
      <w:r w:rsidR="0060225B" w:rsidRPr="00031D1D">
        <w:t>ings across stakeholder groups.</w:t>
      </w:r>
    </w:p>
    <w:p w:rsidR="00175D16" w:rsidRPr="00E12A7B" w:rsidRDefault="00175D16" w:rsidP="00192E2B">
      <w:pPr>
        <w:pStyle w:val="TblHeading"/>
      </w:pPr>
      <w:proofErr w:type="gramStart"/>
      <w:r>
        <w:t>Table 9</w:t>
      </w:r>
      <w:r w:rsidRPr="00E12A7B">
        <w:t>.</w:t>
      </w:r>
      <w:proofErr w:type="gramEnd"/>
      <w:r w:rsidRPr="00E12A7B">
        <w:t xml:space="preserve"> </w:t>
      </w:r>
      <w:r w:rsidR="00031D1D" w:rsidRPr="00E12A7B">
        <w:t xml:space="preserve">Frequency of types of quantitative ratings </w:t>
      </w:r>
      <w:r w:rsidR="00031D1D">
        <w:t>by stakeholders regarding whether the</w:t>
      </w:r>
      <w:r w:rsidR="00031D1D" w:rsidRPr="008D52FA">
        <w:t xml:space="preserve"> tobacco</w:t>
      </w:r>
      <w:r w:rsidR="00031D1D">
        <w:t xml:space="preserve"> plain packaging </w:t>
      </w:r>
      <w:r w:rsidR="00031D1D" w:rsidRPr="008D52FA">
        <w:t>measure</w:t>
      </w:r>
      <w:r w:rsidR="00031D1D">
        <w:t xml:space="preserve"> has been an efficient mechanism for reducing the appeal of tobacco products to consumers, </w:t>
      </w:r>
      <w:r w:rsidRPr="00E12A7B">
        <w:t xml:space="preserve">grouped by stakeholder category (for those stakeholders who participated in the consultation process using the consultation protocol </w:t>
      </w:r>
      <w:r>
        <w:t>only</w:t>
      </w:r>
      <w:r w:rsidR="00031D1D">
        <w:t>)</w:t>
      </w:r>
    </w:p>
    <w:tbl>
      <w:tblPr>
        <w:tblW w:w="4831" w:type="pct"/>
        <w:tblInd w:w="108" w:type="dxa"/>
        <w:tblLayout w:type="fixed"/>
        <w:tblCellMar>
          <w:left w:w="0" w:type="dxa"/>
          <w:right w:w="0" w:type="dxa"/>
        </w:tblCellMar>
        <w:tblLook w:val="04A0" w:firstRow="1" w:lastRow="0" w:firstColumn="1" w:lastColumn="0" w:noHBand="0" w:noVBand="1"/>
        <w:tblDescription w:val="For the various stakeholder groups, table 9 shows the frequency of stakeholder quantitative ratings for whether the measure has been an efficient mechanism for reducing the appeal of tobacco products to consumers.  It has five columns.  Read across for stakeholder group, positive result (to a great extent or somewhat), negative result (not at all or very little), unsure, and no response provided.  Data is presented in the format n/m where n is the number of stakeholders giving the particular rating and m is the total number of stakeholders in the relevant stakeholder group.  Those stakeholders who did not provide a quantitative rating have been included in the denominator as some did go on to provide qualitative responses."/>
      </w:tblPr>
      <w:tblGrid>
        <w:gridCol w:w="2269"/>
        <w:gridCol w:w="1843"/>
        <w:gridCol w:w="1559"/>
        <w:gridCol w:w="1559"/>
        <w:gridCol w:w="1700"/>
      </w:tblGrid>
      <w:tr w:rsidR="00FE7970" w:rsidRPr="00FE7970" w:rsidTr="00CB17ED">
        <w:trPr>
          <w:trHeight w:val="704"/>
          <w:tblHeader/>
        </w:trPr>
        <w:tc>
          <w:tcPr>
            <w:tcW w:w="1270" w:type="pct"/>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FE797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Stakeholder group</w:t>
            </w:r>
          </w:p>
        </w:tc>
        <w:tc>
          <w:tcPr>
            <w:tcW w:w="103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0B5EF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Positive result (to a great extent/ somewhat)</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0B5EF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Negative result (not at all/ very little) </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FE797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Unsure </w:t>
            </w:r>
          </w:p>
        </w:tc>
        <w:tc>
          <w:tcPr>
            <w:tcW w:w="95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FE797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No Response Provided</w:t>
            </w:r>
            <w:r w:rsidRPr="00FE7970">
              <w:rPr>
                <w:rStyle w:val="FootnoteReference"/>
                <w:rFonts w:cs="Times New Roman"/>
                <w:b/>
                <w:color w:val="000000"/>
                <w:sz w:val="18"/>
                <w:szCs w:val="18"/>
                <w:lang w:eastAsia="en-AU"/>
              </w:rPr>
              <w:footnoteReference w:customMarkFollows="1" w:id="11"/>
              <w:t>[1]</w:t>
            </w:r>
          </w:p>
        </w:tc>
      </w:tr>
      <w:tr w:rsidR="0047548A" w:rsidRPr="00FE7970" w:rsidTr="00FE7970">
        <w:trPr>
          <w:trHeight w:val="572"/>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Public Health Organisations/Experts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w:t>
            </w:r>
            <w:r w:rsidR="00554494">
              <w:rPr>
                <w:rFonts w:cs="Times New Roman"/>
                <w:color w:val="000000"/>
                <w:sz w:val="18"/>
                <w:szCs w:val="18"/>
                <w:lang w:eastAsia="en-AU"/>
              </w:rPr>
              <w:t>20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sidRPr="0047046B">
              <w:rPr>
                <w:color w:val="000000"/>
                <w:sz w:val="18"/>
                <w:szCs w:val="18"/>
                <w:lang w:eastAsia="en-AU"/>
              </w:rPr>
              <w:t>19</w:t>
            </w:r>
            <w:r>
              <w:rPr>
                <w:color w:val="000000"/>
                <w:sz w:val="18"/>
                <w:szCs w:val="18"/>
                <w:lang w:eastAsia="en-AU"/>
              </w:rPr>
              <w:t>/</w:t>
            </w:r>
            <w:r w:rsidR="00554494">
              <w:rPr>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554494" w:rsidP="0047548A">
            <w:pPr>
              <w:spacing w:after="0"/>
              <w:jc w:val="center"/>
              <w:rPr>
                <w:rFonts w:cs="Times New Roman"/>
                <w:color w:val="000000"/>
                <w:sz w:val="18"/>
                <w:szCs w:val="18"/>
                <w:lang w:eastAsia="en-AU"/>
              </w:rPr>
            </w:pPr>
            <w:r>
              <w:rPr>
                <w:color w:val="000000"/>
                <w:sz w:val="18"/>
                <w:szCs w:val="18"/>
                <w:lang w:eastAsia="en-AU"/>
              </w:rPr>
              <w:t>0</w:t>
            </w:r>
            <w:r w:rsidR="0047548A">
              <w:rPr>
                <w:color w:val="000000"/>
                <w:sz w:val="18"/>
                <w:szCs w:val="18"/>
                <w:lang w:eastAsia="en-AU"/>
              </w:rPr>
              <w:t>/</w:t>
            </w:r>
            <w:r>
              <w:rPr>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Pr>
                <w:color w:val="000000"/>
                <w:sz w:val="18"/>
                <w:szCs w:val="18"/>
                <w:lang w:eastAsia="en-AU"/>
              </w:rPr>
              <w:t>0</w:t>
            </w:r>
            <w:r w:rsidR="001536C8">
              <w:rPr>
                <w:color w:val="000000"/>
                <w:sz w:val="18"/>
                <w:szCs w:val="18"/>
                <w:lang w:eastAsia="en-AU"/>
              </w:rPr>
              <w:t>/</w:t>
            </w:r>
            <w:r w:rsidR="00554494">
              <w:rPr>
                <w:color w:val="000000"/>
                <w:sz w:val="18"/>
                <w:szCs w:val="18"/>
                <w:lang w:eastAsia="en-AU"/>
              </w:rPr>
              <w:t>20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before="240" w:after="0"/>
              <w:jc w:val="center"/>
              <w:rPr>
                <w:rFonts w:cs="Times New Roman"/>
                <w:color w:val="000000"/>
                <w:sz w:val="18"/>
                <w:szCs w:val="18"/>
                <w:lang w:eastAsia="en-AU"/>
              </w:rPr>
            </w:pPr>
            <w:r w:rsidRPr="0047046B">
              <w:rPr>
                <w:color w:val="000000"/>
                <w:sz w:val="18"/>
                <w:szCs w:val="18"/>
                <w:lang w:eastAsia="en-AU"/>
              </w:rPr>
              <w:t>1</w:t>
            </w:r>
            <w:r>
              <w:rPr>
                <w:color w:val="000000"/>
                <w:sz w:val="18"/>
                <w:szCs w:val="18"/>
                <w:lang w:eastAsia="en-AU"/>
              </w:rPr>
              <w:t>/</w:t>
            </w:r>
            <w:r w:rsidR="00554494">
              <w:rPr>
                <w:color w:val="000000"/>
                <w:sz w:val="18"/>
                <w:szCs w:val="18"/>
                <w:lang w:eastAsia="en-AU"/>
              </w:rPr>
              <w:t>20</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Government Departments</w:t>
            </w:r>
          </w:p>
          <w:p w:rsidR="0047548A" w:rsidRPr="00FE7970" w:rsidRDefault="0047548A" w:rsidP="0047548A">
            <w:pPr>
              <w:spacing w:before="0" w:after="0"/>
              <w:rPr>
                <w:rFonts w:cs="Times New Roman"/>
                <w:color w:val="000000"/>
                <w:sz w:val="18"/>
                <w:szCs w:val="18"/>
                <w:lang w:eastAsia="en-AU"/>
              </w:rPr>
            </w:pPr>
            <w:r>
              <w:rPr>
                <w:rFonts w:cs="Times New Roman"/>
                <w:color w:val="000000"/>
                <w:sz w:val="18"/>
                <w:szCs w:val="18"/>
                <w:lang w:eastAsia="en-AU"/>
              </w:rPr>
              <w:t>(n=8</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sidRPr="0047046B">
              <w:rPr>
                <w:color w:val="000000"/>
                <w:sz w:val="18"/>
                <w:szCs w:val="18"/>
                <w:lang w:eastAsia="en-AU"/>
              </w:rPr>
              <w:t>7</w:t>
            </w:r>
            <w:r>
              <w:rPr>
                <w:color w:val="000000"/>
                <w:sz w:val="18"/>
                <w:szCs w:val="18"/>
                <w:lang w:eastAsia="en-AU"/>
              </w:rPr>
              <w:t>/8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0</w:t>
            </w:r>
            <w:r w:rsidR="00F55F39">
              <w:rPr>
                <w:rFonts w:cs="Times New Roman"/>
                <w:color w:val="000000"/>
                <w:sz w:val="18"/>
                <w:szCs w:val="18"/>
                <w:lang w:eastAsia="en-AU"/>
              </w:rPr>
              <w:t>/8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sidRPr="0047046B">
              <w:rPr>
                <w:color w:val="000000"/>
                <w:sz w:val="18"/>
                <w:szCs w:val="18"/>
                <w:lang w:eastAsia="en-AU"/>
              </w:rPr>
              <w:t>1</w:t>
            </w:r>
            <w:r>
              <w:rPr>
                <w:color w:val="000000"/>
                <w:sz w:val="18"/>
                <w:szCs w:val="18"/>
                <w:lang w:eastAsia="en-AU"/>
              </w:rPr>
              <w:t>/8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before="240" w:after="0"/>
              <w:jc w:val="center"/>
              <w:rPr>
                <w:rFonts w:cs="Times New Roman"/>
                <w:color w:val="000000"/>
                <w:sz w:val="18"/>
                <w:szCs w:val="18"/>
                <w:lang w:eastAsia="en-AU"/>
              </w:rPr>
            </w:pPr>
            <w:r>
              <w:rPr>
                <w:rFonts w:cs="Times New Roman"/>
                <w:color w:val="000000"/>
                <w:sz w:val="18"/>
                <w:szCs w:val="18"/>
                <w:lang w:eastAsia="en-AU"/>
              </w:rPr>
              <w:t>0</w:t>
            </w:r>
            <w:r w:rsidR="00F55F39">
              <w:rPr>
                <w:rFonts w:cs="Times New Roman"/>
                <w:color w:val="000000"/>
                <w:sz w:val="18"/>
                <w:szCs w:val="18"/>
                <w:lang w:eastAsia="en-AU"/>
              </w:rPr>
              <w:t>/8</w:t>
            </w:r>
          </w:p>
        </w:tc>
      </w:tr>
      <w:tr w:rsidR="0047548A" w:rsidRPr="00FE7970" w:rsidTr="00FE7970">
        <w:trPr>
          <w:trHeight w:val="485"/>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Non-Government Organisations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(n=14)</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sz w:val="18"/>
                <w:szCs w:val="18"/>
              </w:rPr>
            </w:pPr>
            <w:r w:rsidRPr="0047046B">
              <w:rPr>
                <w:sz w:val="18"/>
                <w:szCs w:val="18"/>
              </w:rPr>
              <w:t>6</w:t>
            </w:r>
            <w:r>
              <w:rPr>
                <w:sz w:val="18"/>
                <w:szCs w:val="18"/>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sidRPr="0047046B">
              <w:rPr>
                <w:color w:val="000000"/>
                <w:sz w:val="18"/>
                <w:szCs w:val="18"/>
                <w:lang w:eastAsia="en-AU"/>
              </w:rPr>
              <w:t>6</w:t>
            </w:r>
            <w:r>
              <w:rPr>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sidRPr="0047046B">
              <w:rPr>
                <w:color w:val="000000"/>
                <w:sz w:val="18"/>
                <w:szCs w:val="18"/>
                <w:lang w:eastAsia="en-AU"/>
              </w:rPr>
              <w:t>1</w:t>
            </w:r>
            <w:r>
              <w:rPr>
                <w:color w:val="000000"/>
                <w:sz w:val="18"/>
                <w:szCs w:val="18"/>
                <w:lang w:eastAsia="en-AU"/>
              </w:rPr>
              <w:t>/14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before="240" w:after="0"/>
              <w:jc w:val="center"/>
              <w:rPr>
                <w:rFonts w:cs="Times New Roman"/>
                <w:color w:val="000000"/>
                <w:sz w:val="18"/>
                <w:szCs w:val="18"/>
                <w:lang w:eastAsia="en-AU"/>
              </w:rPr>
            </w:pPr>
            <w:r w:rsidRPr="0047046B">
              <w:rPr>
                <w:color w:val="000000"/>
                <w:sz w:val="18"/>
                <w:szCs w:val="18"/>
                <w:lang w:eastAsia="en-AU"/>
              </w:rPr>
              <w:t>1</w:t>
            </w:r>
            <w:r>
              <w:rPr>
                <w:color w:val="000000"/>
                <w:sz w:val="18"/>
                <w:szCs w:val="18"/>
                <w:lang w:eastAsia="en-AU"/>
              </w:rPr>
              <w:t>/14</w:t>
            </w:r>
          </w:p>
        </w:tc>
      </w:tr>
      <w:tr w:rsidR="00BC24EB"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24EB" w:rsidRPr="00FE7970" w:rsidRDefault="00BC24EB" w:rsidP="00BC24EB">
            <w:pPr>
              <w:spacing w:before="0" w:after="0"/>
              <w:rPr>
                <w:rFonts w:cs="Times New Roman"/>
                <w:color w:val="000000"/>
                <w:sz w:val="18"/>
                <w:szCs w:val="18"/>
                <w:lang w:eastAsia="en-AU"/>
              </w:rPr>
            </w:pPr>
            <w:r w:rsidRPr="00FE7970">
              <w:rPr>
                <w:rFonts w:cs="Times New Roman"/>
                <w:color w:val="000000"/>
                <w:sz w:val="18"/>
                <w:szCs w:val="18"/>
                <w:lang w:eastAsia="en-AU"/>
              </w:rPr>
              <w:t>Tobacco Companies</w:t>
            </w:r>
          </w:p>
          <w:p w:rsidR="00BC24EB" w:rsidRPr="00FE7970" w:rsidRDefault="00BC24EB" w:rsidP="00BC24EB">
            <w:pPr>
              <w:spacing w:before="0" w:after="0"/>
              <w:rPr>
                <w:rFonts w:cs="Times New Roman"/>
                <w:color w:val="000000"/>
                <w:sz w:val="18"/>
                <w:szCs w:val="18"/>
                <w:lang w:eastAsia="en-AU"/>
              </w:rPr>
            </w:pPr>
            <w:r>
              <w:rPr>
                <w:rFonts w:cs="Times New Roman"/>
                <w:color w:val="000000"/>
                <w:sz w:val="18"/>
                <w:szCs w:val="18"/>
                <w:lang w:eastAsia="en-AU"/>
              </w:rPr>
              <w:t>(n=3</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0</w:t>
            </w:r>
            <w:r w:rsidR="00307E24">
              <w:rPr>
                <w:rFonts w:cs="Times New Roman"/>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0</w:t>
            </w:r>
            <w:r w:rsidR="00307E24">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1/3</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Tobacco Wholesalers/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Importers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(n=3)</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1/3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before="240" w:after="0"/>
              <w:jc w:val="center"/>
              <w:rPr>
                <w:rFonts w:cs="Times New Roman"/>
                <w:color w:val="000000"/>
                <w:sz w:val="18"/>
                <w:szCs w:val="18"/>
                <w:lang w:eastAsia="en-AU"/>
              </w:rPr>
            </w:pPr>
            <w:r>
              <w:rPr>
                <w:rFonts w:cs="Times New Roman"/>
                <w:color w:val="000000"/>
                <w:sz w:val="18"/>
                <w:szCs w:val="18"/>
                <w:lang w:eastAsia="en-AU"/>
              </w:rPr>
              <w:t>0</w:t>
            </w:r>
            <w:r w:rsidR="00307E24">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before="240" w:after="0"/>
              <w:jc w:val="center"/>
              <w:rPr>
                <w:rFonts w:cs="Times New Roman"/>
                <w:color w:val="000000"/>
                <w:sz w:val="18"/>
                <w:szCs w:val="18"/>
                <w:lang w:eastAsia="en-AU"/>
              </w:rPr>
            </w:pPr>
            <w:r>
              <w:rPr>
                <w:rFonts w:cs="Times New Roman"/>
                <w:color w:val="000000"/>
                <w:sz w:val="18"/>
                <w:szCs w:val="18"/>
                <w:lang w:eastAsia="en-AU"/>
              </w:rPr>
              <w:t>0</w:t>
            </w:r>
            <w:r w:rsidR="00307E24">
              <w:rPr>
                <w:rFonts w:cs="Times New Roman"/>
                <w:color w:val="000000"/>
                <w:sz w:val="18"/>
                <w:szCs w:val="18"/>
                <w:lang w:eastAsia="en-AU"/>
              </w:rPr>
              <w:t>/3</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lastRenderedPageBreak/>
              <w:t>Tobacco Retailers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(n=68)</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sidRPr="0047046B">
              <w:rPr>
                <w:color w:val="000000"/>
                <w:sz w:val="18"/>
                <w:szCs w:val="18"/>
                <w:lang w:eastAsia="en-AU"/>
              </w:rPr>
              <w:t>3</w:t>
            </w:r>
            <w:r>
              <w:rPr>
                <w:color w:val="000000"/>
                <w:sz w:val="18"/>
                <w:szCs w:val="18"/>
                <w:lang w:eastAsia="en-AU"/>
              </w:rPr>
              <w:t>/68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61/68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3/68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1/68</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Consumers</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(n=412)</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10/412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387/412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7/412</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before="240" w:after="0"/>
              <w:jc w:val="center"/>
              <w:rPr>
                <w:rFonts w:cs="Times New Roman"/>
                <w:color w:val="000000"/>
                <w:sz w:val="18"/>
                <w:szCs w:val="18"/>
                <w:lang w:eastAsia="en-AU"/>
              </w:rPr>
            </w:pPr>
            <w:r>
              <w:rPr>
                <w:rFonts w:cs="Times New Roman"/>
                <w:color w:val="000000"/>
                <w:sz w:val="18"/>
                <w:szCs w:val="18"/>
                <w:lang w:eastAsia="en-AU"/>
              </w:rPr>
              <w:t>8/412</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Other</w:t>
            </w:r>
          </w:p>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(n=</w:t>
            </w:r>
            <w:r w:rsidR="00554494">
              <w:rPr>
                <w:rFonts w:cs="Times New Roman"/>
                <w:color w:val="000000"/>
                <w:sz w:val="18"/>
                <w:szCs w:val="18"/>
                <w:lang w:eastAsia="en-AU"/>
              </w:rPr>
              <w:t>14</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0</w:t>
            </w:r>
            <w:r w:rsidR="00DD44E9">
              <w:rPr>
                <w:rFonts w:cs="Times New Roman"/>
                <w:color w:val="000000"/>
                <w:sz w:val="18"/>
                <w:szCs w:val="18"/>
                <w:lang w:eastAsia="en-AU"/>
              </w:rPr>
              <w:t>/</w:t>
            </w:r>
            <w:r w:rsidR="00554494">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554494" w:rsidP="0047548A">
            <w:pPr>
              <w:spacing w:after="0"/>
              <w:jc w:val="center"/>
              <w:rPr>
                <w:rFonts w:cs="Times New Roman"/>
                <w:color w:val="000000"/>
                <w:sz w:val="18"/>
                <w:szCs w:val="18"/>
                <w:lang w:eastAsia="en-AU"/>
              </w:rPr>
            </w:pPr>
            <w:r>
              <w:rPr>
                <w:rFonts w:cs="Times New Roman"/>
                <w:color w:val="000000"/>
                <w:sz w:val="18"/>
                <w:szCs w:val="18"/>
                <w:lang w:eastAsia="en-AU"/>
              </w:rPr>
              <w:t>13</w:t>
            </w:r>
            <w:r w:rsidR="0047548A">
              <w:rPr>
                <w:rFonts w:cs="Times New Roman"/>
                <w:color w:val="000000"/>
                <w:sz w:val="18"/>
                <w:szCs w:val="18"/>
                <w:lang w:eastAsia="en-AU"/>
              </w:rPr>
              <w:t>/</w:t>
            </w:r>
            <w:r>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1/</w:t>
            </w:r>
            <w:r w:rsidR="00554494">
              <w:rPr>
                <w:rFonts w:cs="Times New Roman"/>
                <w:color w:val="000000"/>
                <w:sz w:val="18"/>
                <w:szCs w:val="18"/>
                <w:lang w:eastAsia="en-AU"/>
              </w:rPr>
              <w:t>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before="240" w:after="0"/>
              <w:jc w:val="center"/>
              <w:rPr>
                <w:rFonts w:cs="Times New Roman"/>
                <w:color w:val="000000"/>
                <w:sz w:val="18"/>
                <w:szCs w:val="18"/>
                <w:lang w:eastAsia="en-AU"/>
              </w:rPr>
            </w:pPr>
            <w:r>
              <w:rPr>
                <w:rFonts w:cs="Times New Roman"/>
                <w:color w:val="000000"/>
                <w:sz w:val="18"/>
                <w:szCs w:val="18"/>
                <w:lang w:eastAsia="en-AU"/>
              </w:rPr>
              <w:t>0</w:t>
            </w:r>
            <w:r w:rsidR="00DD44E9">
              <w:rPr>
                <w:rFonts w:cs="Times New Roman"/>
                <w:color w:val="000000"/>
                <w:sz w:val="18"/>
                <w:szCs w:val="18"/>
                <w:lang w:eastAsia="en-AU"/>
              </w:rPr>
              <w:t>/</w:t>
            </w:r>
            <w:r w:rsidR="00554494">
              <w:rPr>
                <w:rFonts w:cs="Times New Roman"/>
                <w:color w:val="000000"/>
                <w:sz w:val="18"/>
                <w:szCs w:val="18"/>
                <w:lang w:eastAsia="en-AU"/>
              </w:rPr>
              <w:t>14</w:t>
            </w:r>
          </w:p>
        </w:tc>
      </w:tr>
      <w:tr w:rsidR="0047548A" w:rsidRPr="00FE7970" w:rsidTr="00FE7970">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7548A" w:rsidRPr="00FE7970" w:rsidRDefault="0047548A" w:rsidP="0047548A">
            <w:pPr>
              <w:spacing w:before="0" w:after="0"/>
              <w:rPr>
                <w:rFonts w:cs="Times New Roman"/>
                <w:color w:val="000000"/>
                <w:sz w:val="18"/>
                <w:szCs w:val="18"/>
                <w:lang w:eastAsia="en-AU"/>
              </w:rPr>
            </w:pPr>
            <w:r w:rsidRPr="00FE7970">
              <w:rPr>
                <w:rFonts w:cs="Times New Roman"/>
                <w:color w:val="000000"/>
                <w:sz w:val="18"/>
                <w:szCs w:val="18"/>
                <w:lang w:eastAsia="en-AU"/>
              </w:rPr>
              <w:t>Unspecified</w:t>
            </w:r>
          </w:p>
          <w:p w:rsidR="0047548A" w:rsidRPr="00FE7970" w:rsidRDefault="0047548A" w:rsidP="0047548A">
            <w:pPr>
              <w:spacing w:before="0" w:after="0"/>
              <w:rPr>
                <w:rFonts w:cs="Times New Roman"/>
                <w:color w:val="000000"/>
                <w:sz w:val="18"/>
                <w:szCs w:val="18"/>
                <w:lang w:eastAsia="en-AU"/>
              </w:rPr>
            </w:pPr>
            <w:r>
              <w:rPr>
                <w:rFonts w:cs="Times New Roman"/>
                <w:color w:val="000000"/>
                <w:sz w:val="18"/>
                <w:szCs w:val="18"/>
                <w:lang w:eastAsia="en-AU"/>
              </w:rPr>
              <w:t>(n= 10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1/10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9/10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after="0"/>
              <w:jc w:val="center"/>
              <w:rPr>
                <w:rFonts w:cs="Times New Roman"/>
                <w:color w:val="000000"/>
                <w:sz w:val="18"/>
                <w:szCs w:val="18"/>
                <w:lang w:eastAsia="en-AU"/>
              </w:rPr>
            </w:pPr>
            <w:r>
              <w:rPr>
                <w:rFonts w:cs="Times New Roman"/>
                <w:color w:val="000000"/>
                <w:sz w:val="18"/>
                <w:szCs w:val="18"/>
                <w:lang w:eastAsia="en-AU"/>
              </w:rPr>
              <w:t>0</w:t>
            </w:r>
            <w:r w:rsidR="00502C28">
              <w:rPr>
                <w:rFonts w:cs="Times New Roman"/>
                <w:color w:val="000000"/>
                <w:sz w:val="18"/>
                <w:szCs w:val="18"/>
                <w:lang w:eastAsia="en-AU"/>
              </w:rPr>
              <w:t>/10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47548A" w:rsidRPr="0047046B" w:rsidRDefault="0047548A" w:rsidP="0047548A">
            <w:pPr>
              <w:spacing w:before="240" w:after="0"/>
              <w:jc w:val="center"/>
              <w:rPr>
                <w:rFonts w:cs="Times New Roman"/>
                <w:color w:val="000000"/>
                <w:sz w:val="18"/>
                <w:szCs w:val="18"/>
                <w:lang w:eastAsia="en-AU"/>
              </w:rPr>
            </w:pPr>
            <w:r>
              <w:rPr>
                <w:rFonts w:cs="Times New Roman"/>
                <w:color w:val="000000"/>
                <w:sz w:val="18"/>
                <w:szCs w:val="18"/>
                <w:lang w:eastAsia="en-AU"/>
              </w:rPr>
              <w:t>0</w:t>
            </w:r>
            <w:r w:rsidR="00502C28">
              <w:rPr>
                <w:rFonts w:cs="Times New Roman"/>
                <w:color w:val="000000"/>
                <w:sz w:val="18"/>
                <w:szCs w:val="18"/>
                <w:lang w:eastAsia="en-AU"/>
              </w:rPr>
              <w:t>/10</w:t>
            </w:r>
          </w:p>
        </w:tc>
      </w:tr>
    </w:tbl>
    <w:p w:rsidR="00281EC6" w:rsidRDefault="00281EC6" w:rsidP="007E6EDE">
      <w:pPr>
        <w:pStyle w:val="Heading5"/>
      </w:pPr>
      <w:r w:rsidRPr="007E6EDE">
        <w:t>Has the measure been an efficient mechanism for increasing the effectiveness of health warnings on the retail packaging of tobacco products</w:t>
      </w:r>
    </w:p>
    <w:p w:rsidR="00175D16" w:rsidRPr="00352E39" w:rsidRDefault="00175D16" w:rsidP="00892EB6">
      <w:r w:rsidRPr="00352E39">
        <w:t>T</w:t>
      </w:r>
      <w:r>
        <w:t>able 10</w:t>
      </w:r>
      <w:r w:rsidRPr="00352E39">
        <w:t xml:space="preserve"> presents </w:t>
      </w:r>
      <w:r w:rsidRPr="00D46A69">
        <w:t>posit</w:t>
      </w:r>
      <w:r>
        <w:t xml:space="preserve">ive, negative and unsure </w:t>
      </w:r>
      <w:r w:rsidRPr="00352E39">
        <w:t>ratings</w:t>
      </w:r>
      <w:r>
        <w:t xml:space="preserve"> (and no response)</w:t>
      </w:r>
      <w:r w:rsidRPr="00352E39">
        <w:t xml:space="preserve"> by stakeholder </w:t>
      </w:r>
      <w:r w:rsidRPr="00C836D9">
        <w:t xml:space="preserve">category </w:t>
      </w:r>
      <w:r w:rsidRPr="00C836D9">
        <w:rPr>
          <w:rFonts w:cs="Times New Roman"/>
          <w:bCs/>
        </w:rPr>
        <w:t>for those stakeholders who participated in the consultation process using the consultation protocol only</w:t>
      </w:r>
      <w:r w:rsidRPr="00C836D9">
        <w:t>.</w:t>
      </w:r>
      <w:r w:rsidRPr="00352E39">
        <w:t xml:space="preserve"> This allows the reader to identify the stakeholder groups who gave each type of rating and the distribution of rat</w:t>
      </w:r>
      <w:r w:rsidR="0060225B">
        <w:t>ings across stakeholder groups.</w:t>
      </w:r>
    </w:p>
    <w:p w:rsidR="00175D16" w:rsidRPr="00E12A7B" w:rsidRDefault="00175D16" w:rsidP="00192E2B">
      <w:pPr>
        <w:pStyle w:val="TblHeading"/>
      </w:pPr>
      <w:proofErr w:type="gramStart"/>
      <w:r>
        <w:t>Table 10</w:t>
      </w:r>
      <w:r w:rsidRPr="00E12A7B">
        <w:t>.</w:t>
      </w:r>
      <w:proofErr w:type="gramEnd"/>
      <w:r w:rsidRPr="00E12A7B">
        <w:t xml:space="preserve"> </w:t>
      </w:r>
      <w:r w:rsidR="00031D1D" w:rsidRPr="00E12A7B">
        <w:t xml:space="preserve">Frequency of types of quantitative ratings </w:t>
      </w:r>
      <w:r w:rsidR="00031D1D">
        <w:t>by stakeholders regarding whether the</w:t>
      </w:r>
      <w:r w:rsidR="00031D1D" w:rsidRPr="008D52FA">
        <w:t xml:space="preserve"> tobacco</w:t>
      </w:r>
      <w:r w:rsidR="00031D1D">
        <w:t xml:space="preserve"> plain packaging </w:t>
      </w:r>
      <w:r w:rsidR="00031D1D" w:rsidRPr="008D52FA">
        <w:t>measure</w:t>
      </w:r>
      <w:r w:rsidR="00031D1D">
        <w:t xml:space="preserve"> has been an efficient mechanism for increasing the effectiveness of health warnings on retail tobacco packaging, </w:t>
      </w:r>
      <w:r w:rsidRPr="00E12A7B">
        <w:t xml:space="preserve">grouped by stakeholder category (for those stakeholders who participated in the consultation process using the consultation protocol </w:t>
      </w:r>
      <w:r>
        <w:t>only</w:t>
      </w:r>
      <w:r w:rsidR="00031D1D">
        <w:t>)</w:t>
      </w:r>
    </w:p>
    <w:tbl>
      <w:tblPr>
        <w:tblW w:w="4831" w:type="pct"/>
        <w:tblInd w:w="108" w:type="dxa"/>
        <w:tblLayout w:type="fixed"/>
        <w:tblCellMar>
          <w:left w:w="0" w:type="dxa"/>
          <w:right w:w="0" w:type="dxa"/>
        </w:tblCellMar>
        <w:tblLook w:val="04A0" w:firstRow="1" w:lastRow="0" w:firstColumn="1" w:lastColumn="0" w:noHBand="0" w:noVBand="1"/>
        <w:tblDescription w:val="For the various stakeholder groups, table 10 shows the frequency of stakeholder quantitative ratings for whether the measure has been an efficient mechanism for increasing the effectiveness of health warnings on the retail packaging of tobacco products.  It has five columns.  Read across for stakeholder group, positive result (to a great extent or somewhat), negative result (not at all or very little), unsure, and no response provided.  Data is presented in the format n/m where n is the number of stakeholders giving the particular rating and m is the total number of stakeholders in the relevant stakeholder group.  Those stakeholders who did not provide a quantitative rating have been included in the denominator as some did go on to provide qualitative responses."/>
      </w:tblPr>
      <w:tblGrid>
        <w:gridCol w:w="2269"/>
        <w:gridCol w:w="1843"/>
        <w:gridCol w:w="1559"/>
        <w:gridCol w:w="1559"/>
        <w:gridCol w:w="1700"/>
      </w:tblGrid>
      <w:tr w:rsidR="00FE7970" w:rsidRPr="00FE7970" w:rsidTr="006C3771">
        <w:trPr>
          <w:trHeight w:val="704"/>
          <w:tblHeader/>
        </w:trPr>
        <w:tc>
          <w:tcPr>
            <w:tcW w:w="1270" w:type="pct"/>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FE797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Stakeholder group</w:t>
            </w:r>
          </w:p>
        </w:tc>
        <w:tc>
          <w:tcPr>
            <w:tcW w:w="103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0B5EF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Positive result (to a great extent/ somewhat)</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E3391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Negative result (not at all/ very little) </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FE797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Unsure </w:t>
            </w:r>
          </w:p>
        </w:tc>
        <w:tc>
          <w:tcPr>
            <w:tcW w:w="95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FE797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No Response Provided</w:t>
            </w:r>
            <w:r w:rsidRPr="00FE7970">
              <w:rPr>
                <w:rStyle w:val="FootnoteReference"/>
                <w:rFonts w:cs="Times New Roman"/>
                <w:b/>
                <w:color w:val="000000"/>
                <w:sz w:val="18"/>
                <w:szCs w:val="18"/>
                <w:lang w:eastAsia="en-AU"/>
              </w:rPr>
              <w:footnoteReference w:customMarkFollows="1" w:id="12"/>
              <w:t>[1]</w:t>
            </w:r>
          </w:p>
        </w:tc>
      </w:tr>
      <w:tr w:rsidR="00FF34D4" w:rsidRPr="00FE7970" w:rsidTr="000D6B1F">
        <w:trPr>
          <w:trHeight w:val="572"/>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Public Health Organisations/Experts</w:t>
            </w:r>
          </w:p>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(n=</w:t>
            </w:r>
            <w:r w:rsidR="00554494">
              <w:rPr>
                <w:rFonts w:cs="Times New Roman"/>
                <w:color w:val="000000"/>
                <w:sz w:val="18"/>
                <w:szCs w:val="18"/>
                <w:lang w:eastAsia="en-AU"/>
              </w:rPr>
              <w:t>20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before="240" w:after="0"/>
              <w:jc w:val="center"/>
              <w:rPr>
                <w:rFonts w:cs="Times New Roman"/>
                <w:color w:val="000000"/>
                <w:sz w:val="18"/>
                <w:szCs w:val="18"/>
                <w:lang w:eastAsia="en-AU"/>
              </w:rPr>
            </w:pPr>
            <w:r>
              <w:rPr>
                <w:rFonts w:cs="Times New Roman"/>
                <w:color w:val="000000"/>
                <w:sz w:val="18"/>
                <w:szCs w:val="18"/>
                <w:lang w:eastAsia="en-AU"/>
              </w:rPr>
              <w:t>17/</w:t>
            </w:r>
            <w:r w:rsidR="00554494">
              <w:rPr>
                <w:rFonts w:cs="Times New Roman"/>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B66D69" w:rsidP="00FF34D4">
            <w:pPr>
              <w:spacing w:after="0"/>
              <w:jc w:val="center"/>
              <w:rPr>
                <w:rFonts w:cs="Times New Roman"/>
                <w:color w:val="000000"/>
                <w:sz w:val="18"/>
                <w:szCs w:val="18"/>
                <w:lang w:eastAsia="en-AU"/>
              </w:rPr>
            </w:pPr>
            <w:r>
              <w:rPr>
                <w:rFonts w:cs="Times New Roman"/>
                <w:color w:val="000000"/>
                <w:sz w:val="18"/>
                <w:szCs w:val="18"/>
                <w:lang w:eastAsia="en-AU"/>
              </w:rPr>
              <w:t>0</w:t>
            </w:r>
            <w:r w:rsidR="00FF34D4">
              <w:rPr>
                <w:rFonts w:cs="Times New Roman"/>
                <w:color w:val="000000"/>
                <w:sz w:val="18"/>
                <w:szCs w:val="18"/>
                <w:lang w:eastAsia="en-AU"/>
              </w:rPr>
              <w:t>/</w:t>
            </w:r>
            <w:r w:rsidR="00554494">
              <w:rPr>
                <w:rFonts w:cs="Times New Roman"/>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w:t>
            </w:r>
            <w:r w:rsidR="00554494">
              <w:rPr>
                <w:rFonts w:cs="Times New Roman"/>
                <w:color w:val="000000"/>
                <w:sz w:val="18"/>
                <w:szCs w:val="18"/>
                <w:lang w:eastAsia="en-AU"/>
              </w:rPr>
              <w:t>20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230651"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2/</w:t>
            </w:r>
            <w:r w:rsidR="00554494">
              <w:rPr>
                <w:rFonts w:cs="Times New Roman"/>
                <w:color w:val="000000"/>
                <w:sz w:val="18"/>
                <w:szCs w:val="18"/>
                <w:lang w:eastAsia="en-AU"/>
              </w:rPr>
              <w:t>20</w:t>
            </w:r>
          </w:p>
        </w:tc>
      </w:tr>
      <w:tr w:rsidR="00FF34D4"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Government Departments</w:t>
            </w:r>
          </w:p>
          <w:p w:rsidR="00FF34D4" w:rsidRPr="00FE7970" w:rsidRDefault="00FF34D4" w:rsidP="00FF34D4">
            <w:pPr>
              <w:spacing w:before="0" w:after="0"/>
              <w:rPr>
                <w:rFonts w:cs="Times New Roman"/>
                <w:color w:val="000000"/>
                <w:sz w:val="18"/>
                <w:szCs w:val="18"/>
                <w:lang w:eastAsia="en-AU"/>
              </w:rPr>
            </w:pPr>
            <w:r>
              <w:rPr>
                <w:rFonts w:cs="Times New Roman"/>
                <w:color w:val="000000"/>
                <w:sz w:val="18"/>
                <w:szCs w:val="18"/>
                <w:lang w:eastAsia="en-AU"/>
              </w:rPr>
              <w:t>(n=8</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after="0"/>
              <w:jc w:val="center"/>
              <w:rPr>
                <w:rFonts w:cs="Times New Roman"/>
                <w:color w:val="000000"/>
                <w:sz w:val="18"/>
                <w:szCs w:val="18"/>
                <w:lang w:eastAsia="en-AU"/>
              </w:rPr>
            </w:pPr>
            <w:r w:rsidRPr="00B71E0A">
              <w:rPr>
                <w:rFonts w:cs="Times New Roman"/>
                <w:color w:val="000000"/>
                <w:sz w:val="18"/>
                <w:szCs w:val="18"/>
                <w:lang w:eastAsia="en-AU"/>
              </w:rPr>
              <w:t>7</w:t>
            </w:r>
            <w:r>
              <w:rPr>
                <w:rFonts w:cs="Times New Roman"/>
                <w:color w:val="000000"/>
                <w:sz w:val="18"/>
                <w:szCs w:val="18"/>
                <w:lang w:eastAsia="en-AU"/>
              </w:rPr>
              <w:t>/8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after="0"/>
              <w:jc w:val="center"/>
              <w:rPr>
                <w:rFonts w:cs="Times New Roman"/>
                <w:color w:val="000000"/>
                <w:sz w:val="18"/>
                <w:szCs w:val="18"/>
                <w:lang w:eastAsia="en-AU"/>
              </w:rPr>
            </w:pPr>
            <w:r w:rsidRPr="00B71E0A">
              <w:rPr>
                <w:rFonts w:cs="Times New Roman"/>
                <w:color w:val="000000"/>
                <w:sz w:val="18"/>
                <w:szCs w:val="18"/>
                <w:lang w:eastAsia="en-AU"/>
              </w:rPr>
              <w:t>0</w:t>
            </w:r>
            <w:r w:rsidR="00F55F39">
              <w:rPr>
                <w:rFonts w:cs="Times New Roman"/>
                <w:color w:val="000000"/>
                <w:sz w:val="18"/>
                <w:szCs w:val="18"/>
                <w:lang w:eastAsia="en-AU"/>
              </w:rPr>
              <w:t>/8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230651"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0</w:t>
            </w:r>
            <w:r w:rsidR="00F55F39">
              <w:rPr>
                <w:rFonts w:cs="Times New Roman"/>
                <w:color w:val="000000"/>
                <w:sz w:val="18"/>
                <w:szCs w:val="18"/>
                <w:lang w:eastAsia="en-AU"/>
              </w:rPr>
              <w:t>/8</w:t>
            </w:r>
          </w:p>
        </w:tc>
      </w:tr>
      <w:tr w:rsidR="00FF34D4" w:rsidRPr="00FE7970" w:rsidTr="000D6B1F">
        <w:trPr>
          <w:trHeight w:val="485"/>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Non-Government Organisations</w:t>
            </w:r>
          </w:p>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(n=14)</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6/14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6/14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230651"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1/14</w:t>
            </w:r>
          </w:p>
        </w:tc>
      </w:tr>
      <w:tr w:rsidR="00BC24EB"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24EB" w:rsidRPr="00FE7970" w:rsidRDefault="00BC24EB" w:rsidP="00BC24EB">
            <w:pPr>
              <w:spacing w:before="0" w:after="0"/>
              <w:rPr>
                <w:rFonts w:cs="Times New Roman"/>
                <w:color w:val="000000"/>
                <w:sz w:val="18"/>
                <w:szCs w:val="18"/>
                <w:lang w:eastAsia="en-AU"/>
              </w:rPr>
            </w:pPr>
            <w:r w:rsidRPr="00FE7970">
              <w:rPr>
                <w:rFonts w:cs="Times New Roman"/>
                <w:color w:val="000000"/>
                <w:sz w:val="18"/>
                <w:szCs w:val="18"/>
                <w:lang w:eastAsia="en-AU"/>
              </w:rPr>
              <w:t>Tobacco Companies</w:t>
            </w:r>
          </w:p>
          <w:p w:rsidR="00BC24EB" w:rsidRPr="00FE7970" w:rsidRDefault="00BC24EB" w:rsidP="00BC24EB">
            <w:pPr>
              <w:spacing w:before="0" w:after="0"/>
              <w:rPr>
                <w:rFonts w:cs="Times New Roman"/>
                <w:color w:val="000000"/>
                <w:sz w:val="18"/>
                <w:szCs w:val="18"/>
                <w:lang w:eastAsia="en-AU"/>
              </w:rPr>
            </w:pPr>
            <w:r>
              <w:rPr>
                <w:rFonts w:cs="Times New Roman"/>
                <w:color w:val="000000"/>
                <w:sz w:val="18"/>
                <w:szCs w:val="18"/>
                <w:lang w:eastAsia="en-AU"/>
              </w:rPr>
              <w:t>(n=3</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1/3</w:t>
            </w:r>
          </w:p>
        </w:tc>
      </w:tr>
      <w:tr w:rsidR="00FF34D4"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Tobacco Wholesalers/</w:t>
            </w:r>
          </w:p>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Importers</w:t>
            </w:r>
          </w:p>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(n=3)</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230651"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r>
      <w:tr w:rsidR="00FF34D4"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Tobacco Retailers</w:t>
            </w:r>
          </w:p>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(n=68)</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6/68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56/68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5/68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230651"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1/68</w:t>
            </w:r>
          </w:p>
        </w:tc>
      </w:tr>
      <w:tr w:rsidR="00FF34D4"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Consumers</w:t>
            </w:r>
          </w:p>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(n=412)</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25/412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376/412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B71E0A"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6/412</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230651"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5/412</w:t>
            </w:r>
          </w:p>
        </w:tc>
      </w:tr>
      <w:tr w:rsidR="00FF34D4"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Other</w:t>
            </w:r>
          </w:p>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(n=</w:t>
            </w:r>
            <w:r w:rsidR="00554494">
              <w:rPr>
                <w:rFonts w:cs="Times New Roman"/>
                <w:color w:val="000000"/>
                <w:sz w:val="18"/>
                <w:szCs w:val="18"/>
                <w:lang w:eastAsia="en-AU"/>
              </w:rPr>
              <w:t>14</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230651"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0</w:t>
            </w:r>
            <w:r w:rsidR="00DD44E9">
              <w:rPr>
                <w:rFonts w:cs="Times New Roman"/>
                <w:color w:val="000000"/>
                <w:sz w:val="18"/>
                <w:szCs w:val="18"/>
                <w:lang w:eastAsia="en-AU"/>
              </w:rPr>
              <w:t>/</w:t>
            </w:r>
            <w:r w:rsidR="00554494">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230651" w:rsidRDefault="00B66D69" w:rsidP="00FF34D4">
            <w:pPr>
              <w:spacing w:after="0"/>
              <w:jc w:val="center"/>
              <w:rPr>
                <w:rFonts w:cs="Times New Roman"/>
                <w:color w:val="000000"/>
                <w:sz w:val="18"/>
                <w:szCs w:val="18"/>
                <w:lang w:eastAsia="en-AU"/>
              </w:rPr>
            </w:pPr>
            <w:r>
              <w:rPr>
                <w:rFonts w:cs="Times New Roman"/>
                <w:color w:val="000000"/>
                <w:sz w:val="18"/>
                <w:szCs w:val="18"/>
                <w:lang w:eastAsia="en-AU"/>
              </w:rPr>
              <w:t>13</w:t>
            </w:r>
            <w:r w:rsidR="00FF34D4">
              <w:rPr>
                <w:rFonts w:cs="Times New Roman"/>
                <w:color w:val="000000"/>
                <w:sz w:val="18"/>
                <w:szCs w:val="18"/>
                <w:lang w:eastAsia="en-AU"/>
              </w:rPr>
              <w:t>/</w:t>
            </w:r>
            <w:r w:rsidR="00554494">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230651"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w:t>
            </w:r>
            <w:r w:rsidR="00554494">
              <w:rPr>
                <w:rFonts w:cs="Times New Roman"/>
                <w:color w:val="000000"/>
                <w:sz w:val="18"/>
                <w:szCs w:val="18"/>
                <w:lang w:eastAsia="en-AU"/>
              </w:rPr>
              <w:t>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230651"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0</w:t>
            </w:r>
            <w:r w:rsidR="00DD44E9">
              <w:rPr>
                <w:rFonts w:cs="Times New Roman"/>
                <w:color w:val="000000"/>
                <w:sz w:val="18"/>
                <w:szCs w:val="18"/>
                <w:lang w:eastAsia="en-AU"/>
              </w:rPr>
              <w:t>/</w:t>
            </w:r>
            <w:r w:rsidR="00554494">
              <w:rPr>
                <w:rFonts w:cs="Times New Roman"/>
                <w:color w:val="000000"/>
                <w:sz w:val="18"/>
                <w:szCs w:val="18"/>
                <w:lang w:eastAsia="en-AU"/>
              </w:rPr>
              <w:t>14</w:t>
            </w:r>
          </w:p>
        </w:tc>
      </w:tr>
      <w:tr w:rsidR="00FF34D4"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Unspecified</w:t>
            </w:r>
          </w:p>
          <w:p w:rsidR="00FF34D4" w:rsidRPr="00FE7970" w:rsidRDefault="00FF34D4" w:rsidP="00FF34D4">
            <w:pPr>
              <w:spacing w:before="0" w:after="0"/>
              <w:rPr>
                <w:rFonts w:cs="Times New Roman"/>
                <w:color w:val="000000"/>
                <w:sz w:val="18"/>
                <w:szCs w:val="18"/>
                <w:lang w:eastAsia="en-AU"/>
              </w:rPr>
            </w:pPr>
            <w:r>
              <w:rPr>
                <w:rFonts w:cs="Times New Roman"/>
                <w:color w:val="000000"/>
                <w:sz w:val="18"/>
                <w:szCs w:val="18"/>
                <w:lang w:eastAsia="en-AU"/>
              </w:rPr>
              <w:t>(n= 10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230651"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230651"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9/10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230651"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0</w:t>
            </w:r>
            <w:r w:rsidR="00502C28">
              <w:rPr>
                <w:rFonts w:cs="Times New Roman"/>
                <w:color w:val="000000"/>
                <w:sz w:val="18"/>
                <w:szCs w:val="18"/>
                <w:lang w:eastAsia="en-AU"/>
              </w:rPr>
              <w:t>/10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230651"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0</w:t>
            </w:r>
            <w:r w:rsidR="00502C28">
              <w:rPr>
                <w:rFonts w:cs="Times New Roman"/>
                <w:color w:val="000000"/>
                <w:sz w:val="18"/>
                <w:szCs w:val="18"/>
                <w:lang w:eastAsia="en-AU"/>
              </w:rPr>
              <w:t>/10</w:t>
            </w:r>
          </w:p>
        </w:tc>
      </w:tr>
    </w:tbl>
    <w:p w:rsidR="00C96D1C" w:rsidRDefault="00C96D1C" w:rsidP="007E6EDE">
      <w:pPr>
        <w:pStyle w:val="Heading5"/>
      </w:pPr>
      <w:r w:rsidRPr="007E6EDE">
        <w:lastRenderedPageBreak/>
        <w:t>Has the measure been an efficient mechanism for reducing the ability of the retail packaging of tobacco products to mislead consumers about the harmful effects of smoking</w:t>
      </w:r>
    </w:p>
    <w:p w:rsidR="00175D16" w:rsidRPr="00352E39" w:rsidRDefault="00175D16" w:rsidP="00892EB6">
      <w:r w:rsidRPr="00352E39">
        <w:t>T</w:t>
      </w:r>
      <w:r>
        <w:t>able 11</w:t>
      </w:r>
      <w:r w:rsidRPr="00352E39">
        <w:t xml:space="preserve"> presents </w:t>
      </w:r>
      <w:r w:rsidRPr="00D46A69">
        <w:t>posit</w:t>
      </w:r>
      <w:r>
        <w:t xml:space="preserve">ive, negative and unsure </w:t>
      </w:r>
      <w:r w:rsidRPr="00352E39">
        <w:t>ratings</w:t>
      </w:r>
      <w:r>
        <w:t xml:space="preserve"> (and no response)</w:t>
      </w:r>
      <w:r w:rsidRPr="00352E39">
        <w:t xml:space="preserve"> by stakeholder </w:t>
      </w:r>
      <w:r w:rsidRPr="00C836D9">
        <w:t xml:space="preserve">category </w:t>
      </w:r>
      <w:r w:rsidRPr="00C836D9">
        <w:rPr>
          <w:rFonts w:cs="Times New Roman"/>
          <w:bCs/>
        </w:rPr>
        <w:t>for those stakeholders who participated in the consultation process using the consultation protocol only</w:t>
      </w:r>
      <w:r w:rsidRPr="00C836D9">
        <w:t xml:space="preserve">. </w:t>
      </w:r>
      <w:r w:rsidRPr="00352E39">
        <w:t>This allows the reader to identify the stakeholder groups who gave each type of rating and the distribution of rat</w:t>
      </w:r>
      <w:r w:rsidR="0060225B">
        <w:t>ings across stakeholder groups.</w:t>
      </w:r>
    </w:p>
    <w:p w:rsidR="00175D16" w:rsidRPr="00E12A7B" w:rsidRDefault="00175D16" w:rsidP="00192E2B">
      <w:pPr>
        <w:pStyle w:val="TblHeading"/>
      </w:pPr>
      <w:proofErr w:type="gramStart"/>
      <w:r>
        <w:t>Table 11</w:t>
      </w:r>
      <w:r w:rsidRPr="00E12A7B">
        <w:t>.</w:t>
      </w:r>
      <w:proofErr w:type="gramEnd"/>
      <w:r w:rsidRPr="00E12A7B">
        <w:t xml:space="preserve"> </w:t>
      </w:r>
      <w:r w:rsidR="00031D1D" w:rsidRPr="00E12A7B">
        <w:t xml:space="preserve">Frequency of types of quantitative ratings </w:t>
      </w:r>
      <w:r w:rsidR="00031D1D">
        <w:t>by stakeholders regarding whether the</w:t>
      </w:r>
      <w:r w:rsidR="00031D1D" w:rsidRPr="008D52FA">
        <w:t xml:space="preserve"> tobacco</w:t>
      </w:r>
      <w:r w:rsidR="00031D1D">
        <w:t xml:space="preserve"> plain packaging </w:t>
      </w:r>
      <w:r w:rsidR="00031D1D" w:rsidRPr="008D52FA">
        <w:t>measure</w:t>
      </w:r>
      <w:r w:rsidR="00031D1D">
        <w:t xml:space="preserve"> has been an efficient mechanism for reducing the ability of retail tobacco packaging to mislead consumers,</w:t>
      </w:r>
      <w:r w:rsidRPr="00E12A7B">
        <w:t xml:space="preserve"> grouped by stakeholder category (for those stakeholders who participated in the consultation process using the consultation protocol </w:t>
      </w:r>
      <w:r>
        <w:t>only</w:t>
      </w:r>
      <w:r w:rsidR="00031D1D">
        <w:t>)</w:t>
      </w:r>
    </w:p>
    <w:tbl>
      <w:tblPr>
        <w:tblW w:w="4831" w:type="pct"/>
        <w:tblInd w:w="108" w:type="dxa"/>
        <w:tblLayout w:type="fixed"/>
        <w:tblCellMar>
          <w:left w:w="0" w:type="dxa"/>
          <w:right w:w="0" w:type="dxa"/>
        </w:tblCellMar>
        <w:tblLook w:val="04A0" w:firstRow="1" w:lastRow="0" w:firstColumn="1" w:lastColumn="0" w:noHBand="0" w:noVBand="1"/>
        <w:tblDescription w:val="For the various stakeholder groups, table 11 shows the frequency of stakeholder quantitative ratings for whether the measure has been an efficient mechanism for reducing the ability of the retail packaging of tobacco products to mislead consumers about the harmful effects of smoking.  Read across for stakeholder group, positive result (to a great extent or somewhat), negative result (not at all or very little), unsure, and no response provided.  Data is presented in the format n/m where n is the number of stakeholders giving the particular rating and m is the total number of stakeholders in the relevant stakeholder group.  Those stakeholders who did not provide a quantitative rating have been included in the denominator as some did go on to provide qualitative responses."/>
      </w:tblPr>
      <w:tblGrid>
        <w:gridCol w:w="2269"/>
        <w:gridCol w:w="1843"/>
        <w:gridCol w:w="1559"/>
        <w:gridCol w:w="1559"/>
        <w:gridCol w:w="1700"/>
      </w:tblGrid>
      <w:tr w:rsidR="00FE7970" w:rsidRPr="00FE7970" w:rsidTr="006C3771">
        <w:trPr>
          <w:trHeight w:val="704"/>
          <w:tblHeader/>
        </w:trPr>
        <w:tc>
          <w:tcPr>
            <w:tcW w:w="1270" w:type="pct"/>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FE797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Stakeholder group</w:t>
            </w:r>
          </w:p>
        </w:tc>
        <w:tc>
          <w:tcPr>
            <w:tcW w:w="103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E3391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Positive result (to a great extent/ somewhat)</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E3391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Negative result (not at all/ very little) </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FE797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Unsure </w:t>
            </w:r>
          </w:p>
        </w:tc>
        <w:tc>
          <w:tcPr>
            <w:tcW w:w="95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FE7970" w:rsidRPr="00FE7970" w:rsidRDefault="00FE7970" w:rsidP="00FE7970">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No Response Provided</w:t>
            </w:r>
            <w:r w:rsidRPr="00FE7970">
              <w:rPr>
                <w:rStyle w:val="FootnoteReference"/>
                <w:rFonts w:cs="Times New Roman"/>
                <w:b/>
                <w:color w:val="000000"/>
                <w:sz w:val="18"/>
                <w:szCs w:val="18"/>
                <w:lang w:eastAsia="en-AU"/>
              </w:rPr>
              <w:footnoteReference w:customMarkFollows="1" w:id="13"/>
              <w:t>[1]</w:t>
            </w:r>
          </w:p>
        </w:tc>
      </w:tr>
      <w:tr w:rsidR="00BA601B" w:rsidRPr="00FE7970" w:rsidTr="000D6B1F">
        <w:trPr>
          <w:trHeight w:val="572"/>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A601B" w:rsidRPr="00B71E0A" w:rsidRDefault="00BA601B" w:rsidP="00BA601B">
            <w:pPr>
              <w:spacing w:before="0" w:after="0"/>
              <w:rPr>
                <w:rFonts w:cs="Times New Roman"/>
                <w:color w:val="000000"/>
                <w:sz w:val="18"/>
                <w:szCs w:val="18"/>
                <w:lang w:eastAsia="en-AU"/>
              </w:rPr>
            </w:pPr>
            <w:r w:rsidRPr="00B71E0A">
              <w:rPr>
                <w:rFonts w:cs="Times New Roman"/>
                <w:color w:val="000000"/>
                <w:sz w:val="18"/>
                <w:szCs w:val="18"/>
                <w:lang w:eastAsia="en-AU"/>
              </w:rPr>
              <w:t>Public Health Organisations/Experts</w:t>
            </w:r>
          </w:p>
          <w:p w:rsidR="00BA601B" w:rsidRPr="00B71E0A" w:rsidRDefault="00BA601B" w:rsidP="00BA601B">
            <w:pPr>
              <w:spacing w:before="0" w:after="0"/>
              <w:rPr>
                <w:rFonts w:cs="Times New Roman"/>
                <w:color w:val="000000"/>
                <w:sz w:val="18"/>
                <w:szCs w:val="18"/>
                <w:lang w:eastAsia="en-AU"/>
              </w:rPr>
            </w:pPr>
            <w:r w:rsidRPr="00B71E0A">
              <w:rPr>
                <w:rFonts w:cs="Times New Roman"/>
                <w:color w:val="000000"/>
                <w:sz w:val="18"/>
                <w:szCs w:val="18"/>
                <w:lang w:eastAsia="en-AU"/>
              </w:rPr>
              <w:t>(n=</w:t>
            </w:r>
            <w:r w:rsidR="00B66D69">
              <w:rPr>
                <w:rFonts w:cs="Times New Roman"/>
                <w:color w:val="000000"/>
                <w:sz w:val="18"/>
                <w:szCs w:val="18"/>
                <w:lang w:eastAsia="en-AU"/>
              </w:rPr>
              <w:t>20</w:t>
            </w:r>
            <w:r w:rsidRPr="00B71E0A">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B71E0A"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16/</w:t>
            </w:r>
            <w:r w:rsidR="00B66D69">
              <w:rPr>
                <w:rFonts w:cs="Times New Roman"/>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66D69" w:rsidP="00BA601B">
            <w:pPr>
              <w:spacing w:after="0"/>
              <w:jc w:val="center"/>
              <w:rPr>
                <w:rFonts w:cs="Times New Roman"/>
                <w:color w:val="000000"/>
                <w:sz w:val="18"/>
                <w:szCs w:val="18"/>
                <w:lang w:eastAsia="en-AU"/>
              </w:rPr>
            </w:pPr>
            <w:r>
              <w:rPr>
                <w:rFonts w:cs="Times New Roman"/>
                <w:color w:val="000000"/>
                <w:sz w:val="18"/>
                <w:szCs w:val="18"/>
                <w:lang w:eastAsia="en-AU"/>
              </w:rPr>
              <w:t>0</w:t>
            </w:r>
            <w:r w:rsidR="00BA601B">
              <w:rPr>
                <w:rFonts w:cs="Times New Roman"/>
                <w:color w:val="000000"/>
                <w:sz w:val="18"/>
                <w:szCs w:val="18"/>
                <w:lang w:eastAsia="en-AU"/>
              </w:rPr>
              <w:t>/</w:t>
            </w:r>
            <w:r>
              <w:rPr>
                <w:rFonts w:cs="Times New Roman"/>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0</w:t>
            </w:r>
            <w:r w:rsidR="006F06AD">
              <w:rPr>
                <w:rFonts w:cs="Times New Roman"/>
                <w:color w:val="000000"/>
                <w:sz w:val="18"/>
                <w:szCs w:val="18"/>
                <w:lang w:eastAsia="en-AU"/>
              </w:rPr>
              <w:t>/</w:t>
            </w:r>
            <w:r w:rsidR="00B66D69">
              <w:rPr>
                <w:rFonts w:cs="Times New Roman"/>
                <w:color w:val="000000"/>
                <w:sz w:val="18"/>
                <w:szCs w:val="18"/>
                <w:lang w:eastAsia="en-AU"/>
              </w:rPr>
              <w:t>20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4/</w:t>
            </w:r>
            <w:r w:rsidR="00B66D69">
              <w:rPr>
                <w:rFonts w:cs="Times New Roman"/>
                <w:color w:val="000000"/>
                <w:sz w:val="18"/>
                <w:szCs w:val="18"/>
                <w:lang w:eastAsia="en-AU"/>
              </w:rPr>
              <w:t>20</w:t>
            </w:r>
          </w:p>
        </w:tc>
      </w:tr>
      <w:tr w:rsidR="00BA601B"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A601B" w:rsidRPr="00B71E0A" w:rsidRDefault="00BA601B" w:rsidP="00BA601B">
            <w:pPr>
              <w:spacing w:before="0" w:after="0"/>
              <w:rPr>
                <w:rFonts w:cs="Times New Roman"/>
                <w:color w:val="000000"/>
                <w:sz w:val="18"/>
                <w:szCs w:val="18"/>
                <w:lang w:eastAsia="en-AU"/>
              </w:rPr>
            </w:pPr>
            <w:r w:rsidRPr="00B71E0A">
              <w:rPr>
                <w:rFonts w:cs="Times New Roman"/>
                <w:color w:val="000000"/>
                <w:sz w:val="18"/>
                <w:szCs w:val="18"/>
                <w:lang w:eastAsia="en-AU"/>
              </w:rPr>
              <w:t>Government Departments</w:t>
            </w:r>
          </w:p>
          <w:p w:rsidR="00BA601B" w:rsidRPr="00B71E0A" w:rsidRDefault="00BA601B" w:rsidP="00BA601B">
            <w:pPr>
              <w:spacing w:before="0" w:after="0"/>
              <w:rPr>
                <w:rFonts w:cs="Times New Roman"/>
                <w:color w:val="000000"/>
                <w:sz w:val="18"/>
                <w:szCs w:val="18"/>
                <w:lang w:eastAsia="en-AU"/>
              </w:rPr>
            </w:pPr>
            <w:r>
              <w:rPr>
                <w:rFonts w:cs="Times New Roman"/>
                <w:color w:val="000000"/>
                <w:sz w:val="18"/>
                <w:szCs w:val="18"/>
                <w:lang w:eastAsia="en-AU"/>
              </w:rPr>
              <w:t>(n=8</w:t>
            </w:r>
            <w:r w:rsidRPr="00B71E0A">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B71E0A" w:rsidRDefault="00DD1724" w:rsidP="00BA601B">
            <w:pPr>
              <w:spacing w:after="0"/>
              <w:jc w:val="center"/>
              <w:rPr>
                <w:rFonts w:cs="Times New Roman"/>
                <w:color w:val="000000"/>
                <w:sz w:val="18"/>
                <w:szCs w:val="18"/>
                <w:lang w:eastAsia="en-AU"/>
              </w:rPr>
            </w:pPr>
            <w:r>
              <w:rPr>
                <w:rFonts w:cs="Times New Roman"/>
                <w:color w:val="000000"/>
                <w:sz w:val="18"/>
                <w:szCs w:val="18"/>
                <w:lang w:eastAsia="en-AU"/>
              </w:rPr>
              <w:t>8/8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0</w:t>
            </w:r>
            <w:r w:rsidR="00DD1724">
              <w:rPr>
                <w:rFonts w:cs="Times New Roman"/>
                <w:color w:val="000000"/>
                <w:sz w:val="18"/>
                <w:szCs w:val="18"/>
                <w:lang w:eastAsia="en-AU"/>
              </w:rPr>
              <w:t>/0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0</w:t>
            </w:r>
            <w:r w:rsidR="00DD1724">
              <w:rPr>
                <w:rFonts w:cs="Times New Roman"/>
                <w:color w:val="000000"/>
                <w:sz w:val="18"/>
                <w:szCs w:val="18"/>
                <w:lang w:eastAsia="en-AU"/>
              </w:rPr>
              <w:t>/0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0</w:t>
            </w:r>
            <w:r w:rsidR="00DD1724">
              <w:rPr>
                <w:rFonts w:cs="Times New Roman"/>
                <w:color w:val="000000"/>
                <w:sz w:val="18"/>
                <w:szCs w:val="18"/>
                <w:lang w:eastAsia="en-AU"/>
              </w:rPr>
              <w:t>/0</w:t>
            </w:r>
          </w:p>
        </w:tc>
      </w:tr>
      <w:tr w:rsidR="00BA601B" w:rsidRPr="00FE7970" w:rsidTr="000D6B1F">
        <w:trPr>
          <w:trHeight w:val="485"/>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A601B" w:rsidRPr="00B71E0A" w:rsidRDefault="00BA601B" w:rsidP="00BA601B">
            <w:pPr>
              <w:spacing w:before="0" w:after="0"/>
              <w:rPr>
                <w:rFonts w:cs="Times New Roman"/>
                <w:color w:val="000000"/>
                <w:sz w:val="18"/>
                <w:szCs w:val="18"/>
                <w:lang w:eastAsia="en-AU"/>
              </w:rPr>
            </w:pPr>
            <w:r w:rsidRPr="00B71E0A">
              <w:rPr>
                <w:rFonts w:cs="Times New Roman"/>
                <w:color w:val="000000"/>
                <w:sz w:val="18"/>
                <w:szCs w:val="18"/>
                <w:lang w:eastAsia="en-AU"/>
              </w:rPr>
              <w:t>Non-Government Organisations</w:t>
            </w:r>
          </w:p>
          <w:p w:rsidR="00BA601B" w:rsidRPr="00B71E0A" w:rsidRDefault="00BA601B" w:rsidP="00BA601B">
            <w:pPr>
              <w:spacing w:before="0" w:after="0"/>
              <w:rPr>
                <w:rFonts w:cs="Times New Roman"/>
                <w:color w:val="000000"/>
                <w:sz w:val="18"/>
                <w:szCs w:val="18"/>
                <w:lang w:eastAsia="en-AU"/>
              </w:rPr>
            </w:pPr>
            <w:r w:rsidRPr="00B71E0A">
              <w:rPr>
                <w:rFonts w:cs="Times New Roman"/>
                <w:color w:val="000000"/>
                <w:sz w:val="18"/>
                <w:szCs w:val="18"/>
                <w:lang w:eastAsia="en-AU"/>
              </w:rPr>
              <w:t>(n=14)</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B71E0A"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6/14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6/14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1/14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1/14</w:t>
            </w:r>
          </w:p>
        </w:tc>
      </w:tr>
      <w:tr w:rsidR="00BC24EB"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24EB" w:rsidRPr="00FE7970" w:rsidRDefault="00BC24EB" w:rsidP="00BC24EB">
            <w:pPr>
              <w:spacing w:before="0" w:after="0"/>
              <w:rPr>
                <w:rFonts w:cs="Times New Roman"/>
                <w:color w:val="000000"/>
                <w:sz w:val="18"/>
                <w:szCs w:val="18"/>
                <w:lang w:eastAsia="en-AU"/>
              </w:rPr>
            </w:pPr>
            <w:r w:rsidRPr="00FE7970">
              <w:rPr>
                <w:rFonts w:cs="Times New Roman"/>
                <w:color w:val="000000"/>
                <w:sz w:val="18"/>
                <w:szCs w:val="18"/>
                <w:lang w:eastAsia="en-AU"/>
              </w:rPr>
              <w:t>Tobacco Companies</w:t>
            </w:r>
          </w:p>
          <w:p w:rsidR="00BC24EB" w:rsidRPr="00FE7970" w:rsidRDefault="00BC24EB" w:rsidP="00BC24EB">
            <w:pPr>
              <w:spacing w:before="0" w:after="0"/>
              <w:rPr>
                <w:rFonts w:cs="Times New Roman"/>
                <w:color w:val="000000"/>
                <w:sz w:val="18"/>
                <w:szCs w:val="18"/>
                <w:lang w:eastAsia="en-AU"/>
              </w:rPr>
            </w:pPr>
            <w:r>
              <w:rPr>
                <w:rFonts w:cs="Times New Roman"/>
                <w:color w:val="000000"/>
                <w:sz w:val="18"/>
                <w:szCs w:val="18"/>
                <w:lang w:eastAsia="en-AU"/>
              </w:rPr>
              <w:t>(n=3</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C24EB" w:rsidRPr="00C05D65" w:rsidRDefault="00BC24EB" w:rsidP="00BC24EB">
            <w:pPr>
              <w:spacing w:after="0"/>
              <w:jc w:val="center"/>
              <w:rPr>
                <w:rFonts w:cs="Times New Roman"/>
                <w:color w:val="000000"/>
                <w:sz w:val="18"/>
                <w:szCs w:val="18"/>
                <w:lang w:eastAsia="en-AU"/>
              </w:rPr>
            </w:pPr>
            <w:r>
              <w:rPr>
                <w:rFonts w:cs="Times New Roman"/>
                <w:color w:val="000000"/>
                <w:sz w:val="18"/>
                <w:szCs w:val="18"/>
                <w:lang w:eastAsia="en-AU"/>
              </w:rPr>
              <w:t>1/3</w:t>
            </w:r>
          </w:p>
        </w:tc>
      </w:tr>
      <w:tr w:rsidR="00BA601B"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A601B" w:rsidRPr="00B71E0A" w:rsidRDefault="00BA601B" w:rsidP="00BA601B">
            <w:pPr>
              <w:spacing w:before="0" w:after="0"/>
              <w:rPr>
                <w:rFonts w:cs="Times New Roman"/>
                <w:color w:val="000000"/>
                <w:sz w:val="18"/>
                <w:szCs w:val="18"/>
                <w:lang w:eastAsia="en-AU"/>
              </w:rPr>
            </w:pPr>
            <w:r w:rsidRPr="00B71E0A">
              <w:rPr>
                <w:rFonts w:cs="Times New Roman"/>
                <w:color w:val="000000"/>
                <w:sz w:val="18"/>
                <w:szCs w:val="18"/>
                <w:lang w:eastAsia="en-AU"/>
              </w:rPr>
              <w:t>Tobacco Wholesalers/</w:t>
            </w:r>
          </w:p>
          <w:p w:rsidR="00BA601B" w:rsidRPr="00B71E0A" w:rsidRDefault="00BA601B" w:rsidP="00BA601B">
            <w:pPr>
              <w:spacing w:before="0" w:after="0"/>
              <w:rPr>
                <w:rFonts w:cs="Times New Roman"/>
                <w:color w:val="000000"/>
                <w:sz w:val="18"/>
                <w:szCs w:val="18"/>
                <w:lang w:eastAsia="en-AU"/>
              </w:rPr>
            </w:pPr>
            <w:r w:rsidRPr="00B71E0A">
              <w:rPr>
                <w:rFonts w:cs="Times New Roman"/>
                <w:color w:val="000000"/>
                <w:sz w:val="18"/>
                <w:szCs w:val="18"/>
                <w:lang w:eastAsia="en-AU"/>
              </w:rPr>
              <w:t>Importers</w:t>
            </w:r>
          </w:p>
          <w:p w:rsidR="00BA601B" w:rsidRPr="00B71E0A" w:rsidRDefault="00BA601B" w:rsidP="00BA601B">
            <w:pPr>
              <w:spacing w:before="0" w:after="0"/>
              <w:rPr>
                <w:rFonts w:cs="Times New Roman"/>
                <w:color w:val="000000"/>
                <w:sz w:val="18"/>
                <w:szCs w:val="18"/>
                <w:lang w:eastAsia="en-AU"/>
              </w:rPr>
            </w:pPr>
            <w:r w:rsidRPr="00B71E0A">
              <w:rPr>
                <w:rFonts w:cs="Times New Roman"/>
                <w:color w:val="000000"/>
                <w:sz w:val="18"/>
                <w:szCs w:val="18"/>
                <w:lang w:eastAsia="en-AU"/>
              </w:rPr>
              <w:t>(n=3)</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B71E0A"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1/3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r>
      <w:tr w:rsidR="00BA601B"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A601B" w:rsidRPr="00B71E0A" w:rsidRDefault="00BA601B" w:rsidP="00BA601B">
            <w:pPr>
              <w:spacing w:before="0" w:after="0"/>
              <w:rPr>
                <w:rFonts w:cs="Times New Roman"/>
                <w:color w:val="000000"/>
                <w:sz w:val="18"/>
                <w:szCs w:val="18"/>
                <w:lang w:eastAsia="en-AU"/>
              </w:rPr>
            </w:pPr>
            <w:r w:rsidRPr="00B71E0A">
              <w:rPr>
                <w:rFonts w:cs="Times New Roman"/>
                <w:color w:val="000000"/>
                <w:sz w:val="18"/>
                <w:szCs w:val="18"/>
                <w:lang w:eastAsia="en-AU"/>
              </w:rPr>
              <w:t>Tobacco Retailers</w:t>
            </w:r>
          </w:p>
          <w:p w:rsidR="00BA601B" w:rsidRPr="00B71E0A" w:rsidRDefault="00BA601B" w:rsidP="00BA601B">
            <w:pPr>
              <w:spacing w:before="0" w:after="0"/>
              <w:rPr>
                <w:rFonts w:cs="Times New Roman"/>
                <w:color w:val="000000"/>
                <w:sz w:val="18"/>
                <w:szCs w:val="18"/>
                <w:lang w:eastAsia="en-AU"/>
              </w:rPr>
            </w:pPr>
            <w:r w:rsidRPr="00B71E0A">
              <w:rPr>
                <w:rFonts w:cs="Times New Roman"/>
                <w:color w:val="000000"/>
                <w:sz w:val="18"/>
                <w:szCs w:val="18"/>
                <w:lang w:eastAsia="en-AU"/>
              </w:rPr>
              <w:t>(n=68)</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B71E0A"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6/68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51/68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9/68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2/68</w:t>
            </w:r>
          </w:p>
        </w:tc>
      </w:tr>
      <w:tr w:rsidR="00BA601B"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A601B" w:rsidRPr="00B71E0A" w:rsidRDefault="00BA601B" w:rsidP="00BA601B">
            <w:pPr>
              <w:spacing w:before="0" w:after="0"/>
              <w:rPr>
                <w:rFonts w:cs="Times New Roman"/>
                <w:color w:val="000000"/>
                <w:sz w:val="18"/>
                <w:szCs w:val="18"/>
                <w:lang w:eastAsia="en-AU"/>
              </w:rPr>
            </w:pPr>
            <w:r w:rsidRPr="00B71E0A">
              <w:rPr>
                <w:rFonts w:cs="Times New Roman"/>
                <w:color w:val="000000"/>
                <w:sz w:val="18"/>
                <w:szCs w:val="18"/>
                <w:lang w:eastAsia="en-AU"/>
              </w:rPr>
              <w:t>Consumers</w:t>
            </w:r>
          </w:p>
          <w:p w:rsidR="00BA601B" w:rsidRPr="00B71E0A" w:rsidRDefault="00BA601B" w:rsidP="00BA601B">
            <w:pPr>
              <w:spacing w:before="0" w:after="0"/>
              <w:rPr>
                <w:rFonts w:cs="Times New Roman"/>
                <w:color w:val="000000"/>
                <w:sz w:val="18"/>
                <w:szCs w:val="18"/>
                <w:lang w:eastAsia="en-AU"/>
              </w:rPr>
            </w:pPr>
            <w:r w:rsidRPr="00B71E0A">
              <w:rPr>
                <w:rFonts w:cs="Times New Roman"/>
                <w:color w:val="000000"/>
                <w:sz w:val="18"/>
                <w:szCs w:val="18"/>
                <w:lang w:eastAsia="en-AU"/>
              </w:rPr>
              <w:t>(n=412)</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B71E0A"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33/412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351/412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22/412</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6/412</w:t>
            </w:r>
          </w:p>
        </w:tc>
      </w:tr>
      <w:tr w:rsidR="00BA601B"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A601B" w:rsidRPr="00B71E0A" w:rsidRDefault="00BA601B" w:rsidP="00BA601B">
            <w:pPr>
              <w:spacing w:before="0" w:after="0"/>
              <w:rPr>
                <w:rFonts w:cs="Times New Roman"/>
                <w:color w:val="000000"/>
                <w:sz w:val="18"/>
                <w:szCs w:val="18"/>
                <w:lang w:eastAsia="en-AU"/>
              </w:rPr>
            </w:pPr>
            <w:r w:rsidRPr="00B71E0A">
              <w:rPr>
                <w:rFonts w:cs="Times New Roman"/>
                <w:color w:val="000000"/>
                <w:sz w:val="18"/>
                <w:szCs w:val="18"/>
                <w:lang w:eastAsia="en-AU"/>
              </w:rPr>
              <w:t>Other</w:t>
            </w:r>
          </w:p>
          <w:p w:rsidR="00BA601B" w:rsidRPr="00B71E0A" w:rsidRDefault="00BA601B" w:rsidP="00BA601B">
            <w:pPr>
              <w:spacing w:before="0" w:after="0"/>
              <w:rPr>
                <w:rFonts w:cs="Times New Roman"/>
                <w:color w:val="000000"/>
                <w:sz w:val="18"/>
                <w:szCs w:val="18"/>
                <w:lang w:eastAsia="en-AU"/>
              </w:rPr>
            </w:pPr>
            <w:r w:rsidRPr="00B71E0A">
              <w:rPr>
                <w:rFonts w:cs="Times New Roman"/>
                <w:color w:val="000000"/>
                <w:sz w:val="18"/>
                <w:szCs w:val="18"/>
                <w:lang w:eastAsia="en-AU"/>
              </w:rPr>
              <w:t>(n=1</w:t>
            </w:r>
            <w:r w:rsidR="00B66D69">
              <w:rPr>
                <w:rFonts w:cs="Times New Roman"/>
                <w:color w:val="000000"/>
                <w:sz w:val="18"/>
                <w:szCs w:val="18"/>
                <w:lang w:eastAsia="en-AU"/>
              </w:rPr>
              <w:t>4</w:t>
            </w:r>
            <w:r w:rsidRPr="00B71E0A">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B71E0A"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0</w:t>
            </w:r>
            <w:r w:rsidR="00DD44E9">
              <w:rPr>
                <w:rFonts w:cs="Times New Roman"/>
                <w:color w:val="000000"/>
                <w:sz w:val="18"/>
                <w:szCs w:val="18"/>
                <w:lang w:eastAsia="en-AU"/>
              </w:rPr>
              <w:t>/</w:t>
            </w:r>
            <w:r w:rsidR="00B66D69">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66D69" w:rsidP="00BA601B">
            <w:pPr>
              <w:spacing w:after="0"/>
              <w:jc w:val="center"/>
              <w:rPr>
                <w:rFonts w:cs="Times New Roman"/>
                <w:color w:val="000000"/>
                <w:sz w:val="18"/>
                <w:szCs w:val="18"/>
                <w:lang w:eastAsia="en-AU"/>
              </w:rPr>
            </w:pPr>
            <w:r>
              <w:rPr>
                <w:rFonts w:cs="Times New Roman"/>
                <w:color w:val="000000"/>
                <w:sz w:val="18"/>
                <w:szCs w:val="18"/>
                <w:lang w:eastAsia="en-AU"/>
              </w:rPr>
              <w:t>12</w:t>
            </w:r>
            <w:r w:rsidR="00BA601B">
              <w:rPr>
                <w:rFonts w:cs="Times New Roman"/>
                <w:color w:val="000000"/>
                <w:sz w:val="18"/>
                <w:szCs w:val="18"/>
                <w:lang w:eastAsia="en-AU"/>
              </w:rPr>
              <w:t>/</w:t>
            </w:r>
            <w:r>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414071" w:rsidP="00BA601B">
            <w:pPr>
              <w:spacing w:after="0"/>
              <w:jc w:val="center"/>
              <w:rPr>
                <w:rFonts w:cs="Times New Roman"/>
                <w:color w:val="000000"/>
                <w:sz w:val="18"/>
                <w:szCs w:val="18"/>
                <w:lang w:eastAsia="en-AU"/>
              </w:rPr>
            </w:pPr>
            <w:r>
              <w:rPr>
                <w:rFonts w:cs="Times New Roman"/>
                <w:color w:val="000000"/>
                <w:sz w:val="18"/>
                <w:szCs w:val="18"/>
                <w:lang w:eastAsia="en-AU"/>
              </w:rPr>
              <w:t>2/</w:t>
            </w:r>
            <w:r w:rsidR="00B66D69">
              <w:rPr>
                <w:rFonts w:cs="Times New Roman"/>
                <w:color w:val="000000"/>
                <w:sz w:val="18"/>
                <w:szCs w:val="18"/>
                <w:lang w:eastAsia="en-AU"/>
              </w:rPr>
              <w:t>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0</w:t>
            </w:r>
            <w:r w:rsidR="00DD44E9">
              <w:rPr>
                <w:rFonts w:cs="Times New Roman"/>
                <w:color w:val="000000"/>
                <w:sz w:val="18"/>
                <w:szCs w:val="18"/>
                <w:lang w:eastAsia="en-AU"/>
              </w:rPr>
              <w:t>/</w:t>
            </w:r>
            <w:r w:rsidR="00B66D69">
              <w:rPr>
                <w:rFonts w:cs="Times New Roman"/>
                <w:color w:val="000000"/>
                <w:sz w:val="18"/>
                <w:szCs w:val="18"/>
                <w:lang w:eastAsia="en-AU"/>
              </w:rPr>
              <w:t>14</w:t>
            </w:r>
          </w:p>
        </w:tc>
      </w:tr>
      <w:tr w:rsidR="00BA601B"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A601B" w:rsidRPr="00B71E0A" w:rsidRDefault="00BA601B" w:rsidP="00BA601B">
            <w:pPr>
              <w:spacing w:before="0" w:after="0"/>
              <w:rPr>
                <w:rFonts w:cs="Times New Roman"/>
                <w:color w:val="000000"/>
                <w:sz w:val="18"/>
                <w:szCs w:val="18"/>
                <w:lang w:eastAsia="en-AU"/>
              </w:rPr>
            </w:pPr>
            <w:r w:rsidRPr="00B71E0A">
              <w:rPr>
                <w:rFonts w:cs="Times New Roman"/>
                <w:color w:val="000000"/>
                <w:sz w:val="18"/>
                <w:szCs w:val="18"/>
                <w:lang w:eastAsia="en-AU"/>
              </w:rPr>
              <w:t>Unspecified</w:t>
            </w:r>
          </w:p>
          <w:p w:rsidR="00BA601B" w:rsidRPr="00B71E0A" w:rsidRDefault="00BA601B" w:rsidP="00BA601B">
            <w:pPr>
              <w:spacing w:before="0" w:after="0"/>
              <w:rPr>
                <w:rFonts w:cs="Times New Roman"/>
                <w:color w:val="000000"/>
                <w:sz w:val="18"/>
                <w:szCs w:val="18"/>
                <w:lang w:eastAsia="en-AU"/>
              </w:rPr>
            </w:pPr>
            <w:r>
              <w:rPr>
                <w:rFonts w:cs="Times New Roman"/>
                <w:color w:val="000000"/>
                <w:sz w:val="18"/>
                <w:szCs w:val="18"/>
                <w:lang w:eastAsia="en-AU"/>
              </w:rPr>
              <w:t>(n= 10</w:t>
            </w:r>
            <w:r w:rsidRPr="00B71E0A">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B71E0A"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0</w:t>
            </w:r>
            <w:r w:rsidR="00502C28">
              <w:rPr>
                <w:rFonts w:cs="Times New Roman"/>
                <w:color w:val="000000"/>
                <w:sz w:val="18"/>
                <w:szCs w:val="18"/>
                <w:lang w:eastAsia="en-AU"/>
              </w:rPr>
              <w:t>/10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8/10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2/10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A601B" w:rsidRPr="007C3FF2" w:rsidRDefault="00BA601B" w:rsidP="00BA601B">
            <w:pPr>
              <w:spacing w:after="0"/>
              <w:jc w:val="center"/>
              <w:rPr>
                <w:rFonts w:cs="Times New Roman"/>
                <w:color w:val="000000"/>
                <w:sz w:val="18"/>
                <w:szCs w:val="18"/>
                <w:lang w:eastAsia="en-AU"/>
              </w:rPr>
            </w:pPr>
            <w:r>
              <w:rPr>
                <w:rFonts w:cs="Times New Roman"/>
                <w:color w:val="000000"/>
                <w:sz w:val="18"/>
                <w:szCs w:val="18"/>
                <w:lang w:eastAsia="en-AU"/>
              </w:rPr>
              <w:t>0</w:t>
            </w:r>
            <w:r w:rsidR="00502C28">
              <w:rPr>
                <w:rFonts w:cs="Times New Roman"/>
                <w:color w:val="000000"/>
                <w:sz w:val="18"/>
                <w:szCs w:val="18"/>
                <w:lang w:eastAsia="en-AU"/>
              </w:rPr>
              <w:t>/10</w:t>
            </w:r>
          </w:p>
        </w:tc>
      </w:tr>
    </w:tbl>
    <w:p w:rsidR="00C96D1C" w:rsidRPr="00C96D1C" w:rsidRDefault="00C96D1C" w:rsidP="00C96D1C">
      <w:pPr>
        <w:pStyle w:val="Heading4"/>
      </w:pPr>
      <w:r w:rsidRPr="0044799A">
        <w:t xml:space="preserve">Qualitative </w:t>
      </w:r>
      <w:r w:rsidR="0060225B">
        <w:t>responses</w:t>
      </w:r>
    </w:p>
    <w:bookmarkEnd w:id="89"/>
    <w:p w:rsidR="00FE28CF" w:rsidRPr="008D3757" w:rsidRDefault="00FE28CF" w:rsidP="00FE28CF">
      <w:pPr>
        <w:spacing w:before="80" w:after="80"/>
        <w:rPr>
          <w:rFonts w:cs="Times New Roman"/>
        </w:rPr>
      </w:pPr>
      <w:r>
        <w:rPr>
          <w:rFonts w:cs="Times New Roman"/>
        </w:rPr>
        <w:t>Qualitative responses (those that aligned with the consultation protocol and those that did not align with the consultation protocol) from all organisations and individual stakeholders were</w:t>
      </w:r>
      <w:r w:rsidRPr="0044799A">
        <w:rPr>
          <w:rFonts w:cs="Times New Roman"/>
        </w:rPr>
        <w:t xml:space="preserve"> analysed and then </w:t>
      </w:r>
      <w:r>
        <w:rPr>
          <w:rFonts w:cs="Times New Roman"/>
        </w:rPr>
        <w:t xml:space="preserve">presented below </w:t>
      </w:r>
      <w:r w:rsidRPr="008D3757">
        <w:rPr>
          <w:rFonts w:cs="Times New Roman"/>
        </w:rPr>
        <w:t>according to</w:t>
      </w:r>
      <w:r>
        <w:rPr>
          <w:rFonts w:cs="Times New Roman"/>
        </w:rPr>
        <w:t xml:space="preserve"> one major theme which included tobacco plain packa</w:t>
      </w:r>
      <w:r w:rsidR="0060225B">
        <w:rPr>
          <w:rFonts w:cs="Times New Roman"/>
        </w:rPr>
        <w:t>ging as an efficient mechanism.</w:t>
      </w:r>
    </w:p>
    <w:p w:rsidR="006D2E0E" w:rsidRDefault="006D2E0E" w:rsidP="007E6EDE">
      <w:pPr>
        <w:pStyle w:val="Heading5"/>
      </w:pPr>
      <w:r>
        <w:t>Tobacco plain packaging as an efficient mechanism</w:t>
      </w:r>
    </w:p>
    <w:p w:rsidR="00580326" w:rsidRDefault="00580326" w:rsidP="00580326">
      <w:pPr>
        <w:spacing w:before="60" w:after="60"/>
      </w:pPr>
      <w:r>
        <w:t>Tobacco compan</w:t>
      </w:r>
      <w:r w:rsidR="00A84BBF">
        <w:t xml:space="preserve">y </w:t>
      </w:r>
      <w:r w:rsidR="00A84BBF">
        <w:rPr>
          <w:szCs w:val="20"/>
        </w:rPr>
        <w:t>stakeholder/s</w:t>
      </w:r>
      <w:r>
        <w:t>, tobacco wholesalers and importers, tobacco packaging manufacturers, re</w:t>
      </w:r>
      <w:r w:rsidR="00A84BBF">
        <w:t xml:space="preserve">tailers, non-health related NGO </w:t>
      </w:r>
      <w:r w:rsidR="00A84BBF">
        <w:rPr>
          <w:szCs w:val="20"/>
        </w:rPr>
        <w:t>stakeholder/s</w:t>
      </w:r>
      <w:r>
        <w:t xml:space="preserve"> and consumers believe that tobacco plain packaging has not been efficient for the industry as they argue that there were significant burdens and </w:t>
      </w:r>
      <w:r w:rsidR="0060225B">
        <w:t>costs to implement the measure.</w:t>
      </w:r>
    </w:p>
    <w:p w:rsidR="00580326" w:rsidRDefault="00580326" w:rsidP="00580326">
      <w:pPr>
        <w:spacing w:before="60" w:after="60"/>
      </w:pPr>
      <w:r>
        <w:t xml:space="preserve">Retailers and consumers referred to inefficiencies which they believe the measure has caused at point of sale, saying that it takes longer for retailers to identify the correct brand and can </w:t>
      </w:r>
      <w:r>
        <w:lastRenderedPageBreak/>
        <w:t xml:space="preserve">result in the sale of the wrong tobacco product to consumers. Further inefficiencies are described by retailers when placing and receiving tobacco orders in order to ensure the correct product is received, specifically that it takes longer to check the stock delivered against what was ordered. The training of staff in retail outlets was also identified as costly by retailers and their peak bodies/member </w:t>
      </w:r>
      <w:r w:rsidR="0060225B">
        <w:t>organisations.</w:t>
      </w:r>
    </w:p>
    <w:p w:rsidR="00580326" w:rsidRDefault="00580326" w:rsidP="00580326">
      <w:pPr>
        <w:spacing w:before="60" w:after="60"/>
        <w:rPr>
          <w:szCs w:val="20"/>
        </w:rPr>
      </w:pPr>
      <w:r w:rsidRPr="008F23A3">
        <w:rPr>
          <w:szCs w:val="20"/>
        </w:rPr>
        <w:t xml:space="preserve">While many </w:t>
      </w:r>
      <w:r>
        <w:rPr>
          <w:szCs w:val="20"/>
        </w:rPr>
        <w:t xml:space="preserve">industry related </w:t>
      </w:r>
      <w:r w:rsidR="00BF6EDB">
        <w:rPr>
          <w:szCs w:val="20"/>
        </w:rPr>
        <w:t xml:space="preserve">stakeholders </w:t>
      </w:r>
      <w:r w:rsidRPr="008F23A3">
        <w:rPr>
          <w:szCs w:val="20"/>
        </w:rPr>
        <w:t xml:space="preserve">highlighted the increased burden on them and/or their staff associated with </w:t>
      </w:r>
      <w:r>
        <w:rPr>
          <w:szCs w:val="20"/>
        </w:rPr>
        <w:t>the measure</w:t>
      </w:r>
      <w:r w:rsidRPr="008F23A3">
        <w:rPr>
          <w:szCs w:val="20"/>
        </w:rPr>
        <w:t xml:space="preserve">, one group representing a large number of retailers </w:t>
      </w:r>
      <w:r>
        <w:rPr>
          <w:szCs w:val="20"/>
        </w:rPr>
        <w:t>believe</w:t>
      </w:r>
      <w:r w:rsidRPr="008F23A3">
        <w:rPr>
          <w:szCs w:val="20"/>
        </w:rPr>
        <w:t xml:space="preserve"> that the measure has not had an ongoing impact on t</w:t>
      </w:r>
      <w:r>
        <w:rPr>
          <w:szCs w:val="20"/>
        </w:rPr>
        <w:t>he</w:t>
      </w:r>
      <w:r w:rsidRPr="008F23A3">
        <w:rPr>
          <w:szCs w:val="20"/>
        </w:rPr>
        <w:t xml:space="preserve"> business</w:t>
      </w:r>
      <w:r>
        <w:rPr>
          <w:szCs w:val="20"/>
        </w:rPr>
        <w:t>es they represent</w:t>
      </w:r>
      <w:r w:rsidRPr="008F23A3">
        <w:rPr>
          <w:szCs w:val="20"/>
        </w:rPr>
        <w:t>. Further to this</w:t>
      </w:r>
      <w:r>
        <w:rPr>
          <w:szCs w:val="20"/>
        </w:rPr>
        <w:t>,</w:t>
      </w:r>
      <w:r w:rsidRPr="008F23A3">
        <w:rPr>
          <w:szCs w:val="20"/>
        </w:rPr>
        <w:t xml:space="preserve"> they highlighted that tobacco companies provided assistance</w:t>
      </w:r>
      <w:r>
        <w:rPr>
          <w:szCs w:val="20"/>
        </w:rPr>
        <w:t xml:space="preserve"> or advice</w:t>
      </w:r>
      <w:r w:rsidRPr="008F23A3">
        <w:rPr>
          <w:szCs w:val="20"/>
        </w:rPr>
        <w:t xml:space="preserve"> to retailers</w:t>
      </w:r>
      <w:r>
        <w:rPr>
          <w:szCs w:val="20"/>
        </w:rPr>
        <w:t>,</w:t>
      </w:r>
      <w:r w:rsidRPr="008F23A3">
        <w:rPr>
          <w:szCs w:val="20"/>
        </w:rPr>
        <w:t xml:space="preserve"> where they could</w:t>
      </w:r>
      <w:r>
        <w:rPr>
          <w:szCs w:val="20"/>
        </w:rPr>
        <w:t>,</w:t>
      </w:r>
      <w:r w:rsidRPr="008F23A3">
        <w:rPr>
          <w:szCs w:val="20"/>
        </w:rPr>
        <w:t xml:space="preserve"> during the introduction of the measure about how to minimise the impact of the </w:t>
      </w:r>
      <w:r>
        <w:rPr>
          <w:szCs w:val="20"/>
        </w:rPr>
        <w:t xml:space="preserve">tobacco plain packaging </w:t>
      </w:r>
      <w:r w:rsidRPr="008F23A3">
        <w:rPr>
          <w:szCs w:val="20"/>
        </w:rPr>
        <w:t>measure</w:t>
      </w:r>
      <w:r>
        <w:rPr>
          <w:szCs w:val="20"/>
        </w:rPr>
        <w:t xml:space="preserve"> </w:t>
      </w:r>
      <w:r w:rsidRPr="008F23A3">
        <w:rPr>
          <w:szCs w:val="20"/>
        </w:rPr>
        <w:t>on their staff and c</w:t>
      </w:r>
      <w:r>
        <w:rPr>
          <w:szCs w:val="20"/>
        </w:rPr>
        <w:t>ustomer. This included, for example, suggestions for stock layout/shelf placement.</w:t>
      </w:r>
    </w:p>
    <w:p w:rsidR="00580326" w:rsidRPr="0082254C" w:rsidRDefault="00580326" w:rsidP="00580326">
      <w:pPr>
        <w:spacing w:before="60" w:after="60"/>
        <w:rPr>
          <w:szCs w:val="20"/>
        </w:rPr>
      </w:pPr>
      <w:r>
        <w:rPr>
          <w:szCs w:val="20"/>
        </w:rPr>
        <w:t>One tobacco wholesaler and importer</w:t>
      </w:r>
      <w:r w:rsidRPr="008F23A3">
        <w:rPr>
          <w:szCs w:val="20"/>
        </w:rPr>
        <w:t xml:space="preserve"> </w:t>
      </w:r>
      <w:r>
        <w:rPr>
          <w:szCs w:val="20"/>
        </w:rPr>
        <w:t xml:space="preserve">noted that tobacco plain packaging has been </w:t>
      </w:r>
      <w:r w:rsidRPr="0082254C">
        <w:t>efficient for increasing the ef</w:t>
      </w:r>
      <w:r>
        <w:t xml:space="preserve">fectiveness of health warnings. This </w:t>
      </w:r>
      <w:r w:rsidRPr="0082254C">
        <w:t xml:space="preserve">observation </w:t>
      </w:r>
      <w:r>
        <w:t>was</w:t>
      </w:r>
      <w:r w:rsidRPr="0082254C">
        <w:t xml:space="preserve"> based on </w:t>
      </w:r>
      <w:r>
        <w:t>“</w:t>
      </w:r>
      <w:r w:rsidRPr="0082254C">
        <w:t>execution of the regulation.”</w:t>
      </w:r>
    </w:p>
    <w:p w:rsidR="00580326" w:rsidRDefault="00A84BBF" w:rsidP="00580326">
      <w:pPr>
        <w:spacing w:before="60" w:after="60"/>
      </w:pPr>
      <w:r>
        <w:t xml:space="preserve">Most public health organisation and expert </w:t>
      </w:r>
      <w:r>
        <w:rPr>
          <w:szCs w:val="20"/>
        </w:rPr>
        <w:t>stakeholder/s</w:t>
      </w:r>
      <w:r>
        <w:t xml:space="preserve">, government department </w:t>
      </w:r>
      <w:r>
        <w:rPr>
          <w:szCs w:val="20"/>
        </w:rPr>
        <w:t>stakeholder/s</w:t>
      </w:r>
      <w:r w:rsidR="00580326">
        <w:t xml:space="preserve"> and health relat</w:t>
      </w:r>
      <w:r>
        <w:t xml:space="preserve">ed NGO </w:t>
      </w:r>
      <w:r>
        <w:rPr>
          <w:szCs w:val="20"/>
        </w:rPr>
        <w:t>stakeholder/s</w:t>
      </w:r>
      <w:r w:rsidR="00580326">
        <w:t xml:space="preserve"> believe </w:t>
      </w:r>
      <w:r w:rsidR="00580326" w:rsidRPr="00010288">
        <w:t xml:space="preserve">that </w:t>
      </w:r>
      <w:r w:rsidR="00580326">
        <w:t xml:space="preserve">tobacco plain packaging </w:t>
      </w:r>
      <w:r w:rsidR="00580326" w:rsidRPr="00010288">
        <w:t>has</w:t>
      </w:r>
      <w:r w:rsidR="00580326">
        <w:t xml:space="preserve"> been either a </w:t>
      </w:r>
      <w:r w:rsidR="00580326" w:rsidRPr="00424794">
        <w:t>somewhat efficient, or a very efficient mechanism for achieving its objectives. Tobacco plain</w:t>
      </w:r>
      <w:r w:rsidR="00580326">
        <w:t xml:space="preserve"> packaging was seen by these groups to be </w:t>
      </w:r>
      <w:r w:rsidR="0060225B">
        <w:t>an efficient mechanism because:</w:t>
      </w:r>
    </w:p>
    <w:p w:rsidR="00580326" w:rsidRPr="00041D4B" w:rsidRDefault="003B6E38" w:rsidP="00EC02D0">
      <w:pPr>
        <w:pStyle w:val="Bullet"/>
        <w:spacing w:before="60" w:after="60"/>
      </w:pPr>
      <w:r>
        <w:t>I</w:t>
      </w:r>
      <w:r w:rsidR="00580326" w:rsidRPr="00041D4B">
        <w:t>t has wide-spread impact (i.e. every consumer who purchases a packet is exposed)</w:t>
      </w:r>
      <w:r>
        <w:t>;</w:t>
      </w:r>
    </w:p>
    <w:p w:rsidR="00580326" w:rsidRPr="00041D4B" w:rsidRDefault="003B6E38" w:rsidP="00EC02D0">
      <w:pPr>
        <w:pStyle w:val="Bullet"/>
        <w:spacing w:before="60" w:after="60"/>
      </w:pPr>
      <w:r>
        <w:t>I</w:t>
      </w:r>
      <w:r w:rsidR="00580326" w:rsidRPr="00041D4B">
        <w:t>t has had an immediate impact (i.e. there appeared to be an immediate negative response/reaction in smoker</w:t>
      </w:r>
      <w:r w:rsidR="00580326">
        <w:t>’</w:t>
      </w:r>
      <w:r w:rsidR="00580326" w:rsidRPr="00041D4B">
        <w:t>s perceptions as soon as the measure was introduced</w:t>
      </w:r>
      <w:r w:rsidR="001742C3">
        <w:t xml:space="preserve"> based on peer reviewed articles sighted above</w:t>
      </w:r>
      <w:r w:rsidR="00580326" w:rsidRPr="00041D4B">
        <w:t>)</w:t>
      </w:r>
      <w:r>
        <w:t>;</w:t>
      </w:r>
    </w:p>
    <w:p w:rsidR="00580326" w:rsidRPr="00041D4B" w:rsidRDefault="003B6E38" w:rsidP="00EC02D0">
      <w:pPr>
        <w:pStyle w:val="Bullet"/>
        <w:spacing w:before="60" w:after="60"/>
      </w:pPr>
      <w:r>
        <w:t>I</w:t>
      </w:r>
      <w:r w:rsidR="00580326" w:rsidRPr="00041D4B">
        <w:t xml:space="preserve">t aligns with other tobacco control measures </w:t>
      </w:r>
      <w:r w:rsidR="00580326">
        <w:t xml:space="preserve">including for example </w:t>
      </w:r>
      <w:r w:rsidR="00BE2397">
        <w:t>GHWs</w:t>
      </w:r>
      <w:r w:rsidR="00580326" w:rsidRPr="00041D4B">
        <w:t xml:space="preserve"> and </w:t>
      </w:r>
      <w:r w:rsidR="00580326">
        <w:t>tobacco</w:t>
      </w:r>
      <w:r w:rsidR="00580326" w:rsidRPr="00041D4B">
        <w:t xml:space="preserve"> tax excise</w:t>
      </w:r>
      <w:r w:rsidR="00580326">
        <w:t xml:space="preserve"> increases</w:t>
      </w:r>
      <w:r>
        <w:t>; and</w:t>
      </w:r>
    </w:p>
    <w:p w:rsidR="00580326" w:rsidRDefault="003B6E38" w:rsidP="00EC02D0">
      <w:pPr>
        <w:pStyle w:val="Bullet"/>
        <w:spacing w:before="60" w:after="60"/>
      </w:pPr>
      <w:r>
        <w:t>I</w:t>
      </w:r>
      <w:r w:rsidR="00580326" w:rsidRPr="00041D4B">
        <w:t xml:space="preserve">t is a relatively low cost ongoing intervention for government compared to other tobacco control measures (such as the ongoing implementation and </w:t>
      </w:r>
      <w:r w:rsidR="00580326">
        <w:t>updating</w:t>
      </w:r>
      <w:r w:rsidR="00580326" w:rsidRPr="00041D4B">
        <w:t xml:space="preserve"> </w:t>
      </w:r>
      <w:r w:rsidR="0060225B">
        <w:t>of public education campaigns).</w:t>
      </w:r>
    </w:p>
    <w:p w:rsidR="00580326" w:rsidRDefault="00580326" w:rsidP="00580326">
      <w:pPr>
        <w:spacing w:before="60" w:after="60"/>
      </w:pPr>
      <w:r w:rsidRPr="001C09C4">
        <w:t xml:space="preserve">One health related NGO noted that the tobacco plain packaging measure is particularly efficient in rural and remote areas where the reach of </w:t>
      </w:r>
      <w:r>
        <w:t xml:space="preserve">some tobacco control measures </w:t>
      </w:r>
      <w:r w:rsidRPr="001C09C4">
        <w:t>may be lower.</w:t>
      </w:r>
      <w:r w:rsidR="00B21859">
        <w:rPr>
          <w:rStyle w:val="CommentReference"/>
          <w:rFonts w:cs="Times New Roman"/>
          <w:szCs w:val="24"/>
          <w:lang w:val="x-none" w:eastAsia="x-none"/>
        </w:rPr>
        <w:t xml:space="preserve"> </w:t>
      </w:r>
      <w:r w:rsidR="00B21859">
        <w:t xml:space="preserve">For </w:t>
      </w:r>
      <w:r w:rsidRPr="001C09C4">
        <w:t xml:space="preserve">example, this </w:t>
      </w:r>
      <w:r>
        <w:t>NGO report</w:t>
      </w:r>
      <w:r w:rsidRPr="001C09C4">
        <w:t>ed that the further one</w:t>
      </w:r>
      <w:r>
        <w:t xml:space="preserve"> travels from major centres the less likely people are to be exposed to:</w:t>
      </w:r>
    </w:p>
    <w:p w:rsidR="00580326" w:rsidRDefault="003B6E38" w:rsidP="00EC02D0">
      <w:pPr>
        <w:pStyle w:val="Bullet"/>
        <w:spacing w:before="60" w:after="60"/>
      </w:pPr>
      <w:r>
        <w:t>S</w:t>
      </w:r>
      <w:r w:rsidR="00580326">
        <w:t xml:space="preserve">moking restrictions outside </w:t>
      </w:r>
      <w:r w:rsidR="00580326" w:rsidRPr="001C09C4">
        <w:t xml:space="preserve">buildings and </w:t>
      </w:r>
      <w:r w:rsidR="00580326">
        <w:t xml:space="preserve">in </w:t>
      </w:r>
      <w:r w:rsidR="00580326" w:rsidRPr="001C09C4">
        <w:t>entertainment venues</w:t>
      </w:r>
      <w:r>
        <w:t>;</w:t>
      </w:r>
    </w:p>
    <w:p w:rsidR="00580326" w:rsidRDefault="003B6E38" w:rsidP="00EC02D0">
      <w:pPr>
        <w:pStyle w:val="Bullet"/>
        <w:spacing w:before="60" w:after="60"/>
      </w:pPr>
      <w:r>
        <w:t>H</w:t>
      </w:r>
      <w:r w:rsidR="00580326" w:rsidRPr="001C09C4">
        <w:t>igher concentrations of staff whose job it is</w:t>
      </w:r>
      <w:r w:rsidR="00580326">
        <w:t xml:space="preserve"> to enforce no smoking zones</w:t>
      </w:r>
      <w:r>
        <w:t>; and</w:t>
      </w:r>
    </w:p>
    <w:p w:rsidR="00580326" w:rsidRDefault="003B6E38" w:rsidP="00EC02D0">
      <w:pPr>
        <w:pStyle w:val="Bullet"/>
        <w:spacing w:before="60" w:after="60"/>
      </w:pPr>
      <w:r>
        <w:t>N</w:t>
      </w:r>
      <w:r w:rsidR="00580326" w:rsidRPr="001C09C4">
        <w:t>on-smoking sign</w:t>
      </w:r>
      <w:r w:rsidR="00580326">
        <w:t>age or health promotion posters.</w:t>
      </w:r>
    </w:p>
    <w:p w:rsidR="00EB1240" w:rsidRDefault="00580326" w:rsidP="00EC02D0">
      <w:pPr>
        <w:pStyle w:val="Bullet"/>
        <w:numPr>
          <w:ilvl w:val="0"/>
          <w:numId w:val="0"/>
        </w:numPr>
        <w:spacing w:before="60" w:after="60"/>
      </w:pPr>
      <w:r>
        <w:t xml:space="preserve">This NGO reported that it is for these reasons that tobacco plain packaging and </w:t>
      </w:r>
      <w:r w:rsidR="00BE2397">
        <w:t>GHWs</w:t>
      </w:r>
      <w:r>
        <w:t xml:space="preserve"> together become more important in rural and remote areas and are an efficient mechanism for achieving the stated objectives of the legislation</w:t>
      </w:r>
      <w:r w:rsidRPr="00AB1066">
        <w:t>.</w:t>
      </w:r>
    </w:p>
    <w:p w:rsidR="001742C3" w:rsidRPr="001742C3" w:rsidRDefault="001742C3" w:rsidP="001742C3">
      <w:pPr>
        <w:pStyle w:val="BulletPoints"/>
        <w:numPr>
          <w:ilvl w:val="0"/>
          <w:numId w:val="0"/>
        </w:numPr>
      </w:pPr>
      <w:r>
        <w:t>No stakeholder groups</w:t>
      </w:r>
      <w:r w:rsidRPr="001742C3">
        <w:t xml:space="preserve"> cite</w:t>
      </w:r>
      <w:r>
        <w:t>d</w:t>
      </w:r>
      <w:r w:rsidRPr="001742C3">
        <w:t xml:space="preserve"> any sources</w:t>
      </w:r>
      <w:r>
        <w:t xml:space="preserve"> </w:t>
      </w:r>
      <w:r w:rsidR="0026340C">
        <w:t xml:space="preserve">specifically </w:t>
      </w:r>
      <w:r>
        <w:t xml:space="preserve">related to the </w:t>
      </w:r>
      <w:r w:rsidR="0026340C">
        <w:t>‘</w:t>
      </w:r>
      <w:r>
        <w:t>efficiency</w:t>
      </w:r>
      <w:r w:rsidR="0026340C">
        <w:t>’</w:t>
      </w:r>
      <w:r>
        <w:t xml:space="preserve"> of the measure</w:t>
      </w:r>
      <w:r w:rsidRPr="001742C3">
        <w:t xml:space="preserve"> to support their view.</w:t>
      </w:r>
    </w:p>
    <w:p w:rsidR="001F17A0" w:rsidRPr="00C23FAF" w:rsidRDefault="00175D16" w:rsidP="001F17A0">
      <w:pPr>
        <w:spacing w:before="60" w:after="60"/>
      </w:pPr>
      <w:r>
        <w:t>Table 12</w:t>
      </w:r>
      <w:r w:rsidR="001F17A0" w:rsidRPr="00C23FAF">
        <w:t xml:space="preserve"> presents a sample of stakeholder views across groups in order to ill</w:t>
      </w:r>
      <w:r w:rsidR="0060225B">
        <w:t>ustrate the diversity of views.</w:t>
      </w:r>
    </w:p>
    <w:p w:rsidR="00843A11" w:rsidRPr="00BC2BBC" w:rsidRDefault="00175D16" w:rsidP="00192E2B">
      <w:pPr>
        <w:pStyle w:val="TblHeading"/>
      </w:pPr>
      <w:proofErr w:type="gramStart"/>
      <w:r>
        <w:t>Table 12</w:t>
      </w:r>
      <w:r w:rsidR="001F17A0" w:rsidRPr="00C23FAF">
        <w:t>.</w:t>
      </w:r>
      <w:proofErr w:type="gramEnd"/>
      <w:r w:rsidR="001F17A0" w:rsidRPr="00C23FAF">
        <w:t xml:space="preserve"> </w:t>
      </w:r>
      <w:r w:rsidR="00843A11" w:rsidRPr="00C23FAF">
        <w:t>Examples</w:t>
      </w:r>
      <w:r w:rsidR="00843A11">
        <w:t xml:space="preserve"> of s</w:t>
      </w:r>
      <w:r w:rsidR="00843A11" w:rsidRPr="00AB1066">
        <w:t>takeholder</w:t>
      </w:r>
      <w:r w:rsidR="0060225B">
        <w:t xml:space="preserve"> views</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t xml:space="preserve">“In terms of efficiency I think it’s highly efficient – the government doesn’t have to spend money on massive ad spends – it doesn’t need to tweak and change the time at which its screen etc. its every person who buys a packet is exposed to it.” </w:t>
      </w:r>
      <w:r>
        <w:rPr>
          <w:szCs w:val="20"/>
        </w:rPr>
        <w:t>(Public health organisation/expert)</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lastRenderedPageBreak/>
        <w:t xml:space="preserve">“The most efficient way to maximise the impact of the health warning label is to design the pack in such a way that you reduce the distraction away from the warning which was part of the research that went into the design” </w:t>
      </w:r>
      <w:r>
        <w:rPr>
          <w:szCs w:val="20"/>
        </w:rPr>
        <w:t>(Public health organisation/expert)</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t xml:space="preserve"> “Efficient seems to be a less relevant question than effective when it comes to matters of public health. It’s a little unclear – efficient for whom? I don’t know how much it cost the government but we would say that if it’s saving lives then it’s worth it. I’m sure that it was inefficient for some others that found it inconvenient, including Philip Morris and their legal costs.” </w:t>
      </w:r>
      <w:r>
        <w:rPr>
          <w:szCs w:val="20"/>
        </w:rPr>
        <w:t>(Public health organisation/expert)</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t>“Very efficient as a regulation and doesn’t cost anything to do and even in terms of retailers – the costs of changing packaging is always exaggerated extraordinarily by industry.”</w:t>
      </w:r>
      <w:r>
        <w:rPr>
          <w:szCs w:val="20"/>
        </w:rPr>
        <w:t xml:space="preserve"> (Public health organisation/expert)</w:t>
      </w:r>
    </w:p>
    <w:p w:rsidR="006C3771" w:rsidRPr="00AF6362"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proofErr w:type="gramStart"/>
      <w:r>
        <w:t>“Efficiency – very easy for government as a regulation that has to be delivered by industry.</w:t>
      </w:r>
      <w:proofErr w:type="gramEnd"/>
      <w:r>
        <w:t xml:space="preserve"> Whenever you ask industry to do something there are still costs associated with it to productivity etc. if it was any other industry I would worried about that but an industry whose product we now know from the work of Emily Banks a cohort of 200, 000 Australian that it is a product that kills 2/3 of the people who use it (and early death).So the interference in relation to this should be of no worry/consequence to me.”</w:t>
      </w:r>
      <w:r>
        <w:rPr>
          <w:szCs w:val="20"/>
        </w:rPr>
        <w:t xml:space="preserve"> (Public health organisation/expert)</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t>“Since there is no glamorisation on the pack, then there is no way to mislead people as you can’t put any other messages on the pack. As for efficiency, this was the last way that companies could seek to appeal to certain groups through advertising.” (</w:t>
      </w:r>
      <w:r w:rsidRPr="003B5577">
        <w:t>Government department</w:t>
      </w:r>
      <w:r>
        <w:t xml:space="preserve"> stakeholder)</w:t>
      </w:r>
    </w:p>
    <w:p w:rsidR="006C3771" w:rsidRPr="00D86D3A"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t>“When you are looking at efficiency then you look at the costs compared to the outcomes. There is an upfront cost to Commonwealth and to manufacturers but then its business as usual.” (</w:t>
      </w:r>
      <w:r w:rsidRPr="003B5577">
        <w:t>Government department</w:t>
      </w:r>
      <w:r>
        <w:t xml:space="preserve"> stakeholder)</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t>“I think it’s very efficient because instead of a billboard – it’s there every day. It’s just rearranging of ink on the packet.”(Health related NGO)</w:t>
      </w:r>
    </w:p>
    <w:p w:rsidR="006C3771" w:rsidRPr="0082254C"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t>“In terms of its efficiency, in terms of cost and benefit I have no idea. I could suspect it was a good way from the research but in terms of how much it costs and what the movement is…  I imagine shopkeepers wouldn’t be too happy.” (Health related NGO)</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rPr>
          <w:rFonts w:cs="Times New Roman"/>
          <w:szCs w:val="22"/>
        </w:rPr>
      </w:pPr>
      <w:r>
        <w:t>“There are absolutely NO benefits of plain packaging. It has just made things harder for retailers.” (Non health related NGO)</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t>“Health warnings could still be made to be on coloured packaging. This would make things a lot less complicated for consumers and retailers.” (Non health related NGO)</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rPr>
          <w:rFonts w:cs="Times New Roman"/>
          <w:szCs w:val="22"/>
        </w:rPr>
      </w:pPr>
      <w:r>
        <w:t xml:space="preserve"> “The cost of rebranding and repackaging the product I import is a waste of time and very costly.” </w:t>
      </w:r>
      <w:r w:rsidRPr="003B5577">
        <w:t>(Retailer)</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t>“The tobacco caries the load for us but we are out of pocked to pay staff extra wages just to check the stock about $400 per week.”</w:t>
      </w:r>
      <w:r w:rsidRPr="003B5577">
        <w:t xml:space="preserve"> (Retailer)</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proofErr w:type="gramStart"/>
      <w:r>
        <w:t xml:space="preserve">“The extra time necessary to put stock away and to select the </w:t>
      </w:r>
      <w:r w:rsidR="007E6EDE">
        <w:t>right product for the consumer.</w:t>
      </w:r>
      <w:proofErr w:type="gramEnd"/>
      <w:r w:rsidR="007E6EDE">
        <w:t xml:space="preserve"> </w:t>
      </w:r>
      <w:r>
        <w:t xml:space="preserve"> Time is vital for the consumer and plain packaging takes this vital commodity away from them.”</w:t>
      </w:r>
      <w:r w:rsidRPr="003B5577">
        <w:t xml:space="preserve"> (Retailer)</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t>“It takes longer to do everything with the product. Stoke [sic] take, serve, put away, check incoming orders, correcting mistakes of products being put in wrong slots.”</w:t>
      </w:r>
      <w:r w:rsidRPr="003B5577">
        <w:t xml:space="preserve"> (Retailer)</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t xml:space="preserve">“Being unable to quickly identify the product the customer wants. </w:t>
      </w:r>
      <w:proofErr w:type="gramStart"/>
      <w:r>
        <w:t>Sometimes giving the customer the incorrect product.</w:t>
      </w:r>
      <w:proofErr w:type="gramEnd"/>
      <w:r>
        <w:t xml:space="preserve"> Plain packaging makes it harder to identify where the product is.”</w:t>
      </w:r>
      <w:r w:rsidRPr="003B5577">
        <w:t xml:space="preserve"> (Retailer)</w:t>
      </w:r>
    </w:p>
    <w:p w:rsidR="005A034D"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t xml:space="preserve">“There is also the non-financial costs which are the frustrations of customers getting the wrong product and them having to come back, the returns of that product to the tobacco companies if the customer has walked off with the wrong product accidently… opened them then come back then they have to return those product to the tobacco companies… it’s all time related.” </w:t>
      </w:r>
      <w:r w:rsidRPr="003B5577">
        <w:t>(Retailer)</w:t>
      </w:r>
    </w:p>
    <w:p w:rsidR="005A034D" w:rsidRDefault="005A034D"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lastRenderedPageBreak/>
        <w:t>“It is the extra time at various points within the supply chain… It depends of the size of the stores… smaller stores obviously spend less time but some of the bigger stores could spend up to 2 hours in bet</w:t>
      </w:r>
      <w:r w:rsidR="007E6EDE">
        <w:t>ween serving people etc.</w:t>
      </w:r>
      <w:r>
        <w:t xml:space="preserve"> – depending on store it’s a 3 or 4 time increase in terms of the time spent.”</w:t>
      </w:r>
      <w:r w:rsidRPr="003B5577">
        <w:t xml:space="preserve"> (Retailer)</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rPr>
          <w:rFonts w:cs="Times New Roman"/>
          <w:szCs w:val="22"/>
        </w:rPr>
      </w:pPr>
      <w:r>
        <w:t xml:space="preserve"> “More generally, plain packaging has had a significant negative impact upon tobacco manufacturers, in particular by banning [sic] and others from using their property”(Tobacco company)</w:t>
      </w:r>
    </w:p>
    <w:p w:rsidR="006C3771" w:rsidRPr="0082254C"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t xml:space="preserve"> “It has been efficient for increasing the effectiveness of health warnings. My observation is based on execution of the regulation.”(Tobacco wholesaler and importer)</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rPr>
          <w:rFonts w:cs="Times New Roman"/>
          <w:szCs w:val="22"/>
        </w:rPr>
      </w:pPr>
      <w:r>
        <w:t xml:space="preserve"> </w:t>
      </w:r>
      <w:proofErr w:type="gramStart"/>
      <w:r>
        <w:t>“Loss of $35 million in revenue.</w:t>
      </w:r>
      <w:proofErr w:type="gramEnd"/>
      <w:r>
        <w:t xml:space="preserve"> Loss of 70 jobs…No benefit to our business” (Tobacco packaging manufacturer)</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t>“We do not believe [sic] that the tobacco plain packaging measure has been effective or efficient in meeting its objectives.” (Tobacco packaging manufacturer)</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rPr>
          <w:rFonts w:cs="Times New Roman"/>
          <w:szCs w:val="22"/>
        </w:rPr>
      </w:pPr>
      <w:r>
        <w:t>“It appears that a great deal of time and money has been spent by government and other organisations on this measure. If that time and money were spent on programs and services for nicotine addicts, then desired outcomes may improve.”(Consumer)</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r>
        <w:t>“Useless increase in manufacturing costs which are passed on to the consumer.” (Consumer)</w:t>
      </w:r>
    </w:p>
    <w:p w:rsidR="006C3771"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line="252" w:lineRule="auto"/>
      </w:pPr>
      <w:proofErr w:type="gramStart"/>
      <w:r>
        <w:t>“Lack of consumer information and increased aggravation resulting from service delays.”</w:t>
      </w:r>
      <w:proofErr w:type="gramEnd"/>
      <w:r>
        <w:t xml:space="preserve"> (Consumer)</w:t>
      </w:r>
    </w:p>
    <w:p w:rsidR="001F17A0" w:rsidRPr="0060225B" w:rsidRDefault="006C3771" w:rsidP="0060225B">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b/>
          <w:i w:val="0"/>
          <w:szCs w:val="20"/>
        </w:rPr>
      </w:pPr>
      <w:proofErr w:type="gramStart"/>
      <w:r>
        <w:t>“Slows down customer service.”</w:t>
      </w:r>
      <w:proofErr w:type="gramEnd"/>
      <w:r>
        <w:t xml:space="preserve"> (Consumer)</w:t>
      </w:r>
    </w:p>
    <w:p w:rsidR="003D7EBB" w:rsidRPr="00EC1EEB" w:rsidRDefault="00EB1240" w:rsidP="0018586D">
      <w:pPr>
        <w:pStyle w:val="Heading2"/>
        <w:numPr>
          <w:ilvl w:val="1"/>
          <w:numId w:val="13"/>
        </w:numPr>
        <w:rPr>
          <w:rStyle w:val="SubtleEmphasis"/>
          <w:rFonts w:ascii="Times New Roman" w:hAnsi="Times New Roman"/>
          <w:iCs/>
          <w:sz w:val="32"/>
        </w:rPr>
      </w:pPr>
      <w:r>
        <w:br w:type="page"/>
      </w:r>
      <w:bookmarkStart w:id="91" w:name="_Toc444007953"/>
      <w:r w:rsidR="003D7EBB" w:rsidRPr="00EC1EEB">
        <w:lastRenderedPageBreak/>
        <w:t xml:space="preserve">The longer term objectives </w:t>
      </w:r>
      <w:r w:rsidR="00B21859">
        <w:t xml:space="preserve">section </w:t>
      </w:r>
      <w:r w:rsidR="0014577F" w:rsidRPr="00FA7EC9">
        <w:t>3</w:t>
      </w:r>
      <w:r w:rsidR="0045240D" w:rsidRPr="00FA7EC9">
        <w:t>(1)</w:t>
      </w:r>
      <w:r w:rsidR="003D7EBB" w:rsidRPr="00FA7EC9">
        <w:t xml:space="preserve"> of the TPP Act</w:t>
      </w:r>
      <w:bookmarkEnd w:id="91"/>
    </w:p>
    <w:p w:rsidR="00A86DF3" w:rsidRDefault="00A86DF3" w:rsidP="00A86DF3">
      <w:bookmarkStart w:id="92" w:name="_Toc418770497"/>
      <w:bookmarkStart w:id="93" w:name="_Toc419889575"/>
      <w:bookmarkStart w:id="94" w:name="_Toc422478381"/>
      <w:bookmarkEnd w:id="90"/>
      <w:r>
        <w:t>This section of the report presents:</w:t>
      </w:r>
    </w:p>
    <w:p w:rsidR="00A86DF3" w:rsidRDefault="003B6E38" w:rsidP="00EC02D0">
      <w:pPr>
        <w:pStyle w:val="Bullet"/>
      </w:pPr>
      <w:r>
        <w:t>S</w:t>
      </w:r>
      <w:r w:rsidR="00A86DF3">
        <w:t xml:space="preserve">takeholder perceptions about </w:t>
      </w:r>
      <w:r w:rsidR="00A86DF3" w:rsidRPr="003C276D">
        <w:t>whether the tobacco</w:t>
      </w:r>
      <w:r w:rsidR="00A86DF3">
        <w:t xml:space="preserve"> plain packaging measure, as part of broader effort, has contributed to improvements in the following aspects of public health:</w:t>
      </w:r>
    </w:p>
    <w:p w:rsidR="00A86DF3" w:rsidRDefault="00A86DF3" w:rsidP="0018586D">
      <w:pPr>
        <w:pStyle w:val="Bullet"/>
        <w:numPr>
          <w:ilvl w:val="0"/>
          <w:numId w:val="12"/>
        </w:numPr>
      </w:pPr>
      <w:r>
        <w:t>discouraging people from taking up smoking or using tobacco products</w:t>
      </w:r>
    </w:p>
    <w:p w:rsidR="00A86DF3" w:rsidRPr="0014577F" w:rsidRDefault="00A86DF3" w:rsidP="0018586D">
      <w:pPr>
        <w:pStyle w:val="Bullet"/>
        <w:numPr>
          <w:ilvl w:val="0"/>
          <w:numId w:val="12"/>
        </w:numPr>
      </w:pPr>
      <w:r w:rsidRPr="0014577F">
        <w:t>encouraging people to give up smoking or to stop using tobacco products</w:t>
      </w:r>
    </w:p>
    <w:p w:rsidR="00A86DF3" w:rsidRPr="0014577F" w:rsidRDefault="00A86DF3" w:rsidP="0018586D">
      <w:pPr>
        <w:pStyle w:val="Bullet"/>
        <w:numPr>
          <w:ilvl w:val="0"/>
          <w:numId w:val="12"/>
        </w:numPr>
      </w:pPr>
      <w:r w:rsidRPr="0014577F">
        <w:t>discouraging people who have given up smoking, or who have stopped using tobacco products from relapsing</w:t>
      </w:r>
    </w:p>
    <w:p w:rsidR="00A86DF3" w:rsidRPr="0014577F" w:rsidRDefault="00A86DF3" w:rsidP="0018586D">
      <w:pPr>
        <w:pStyle w:val="BulletPoints"/>
        <w:numPr>
          <w:ilvl w:val="0"/>
          <w:numId w:val="12"/>
        </w:numPr>
      </w:pPr>
      <w:r w:rsidRPr="0014577F">
        <w:t>reducing people’s exposure to smoke from tobacco products</w:t>
      </w:r>
      <w:r w:rsidR="003B6E38">
        <w:t>; and</w:t>
      </w:r>
    </w:p>
    <w:p w:rsidR="00A86DF3" w:rsidRPr="0014577F" w:rsidRDefault="003B6E38" w:rsidP="00EC02D0">
      <w:pPr>
        <w:pStyle w:val="Bullet"/>
      </w:pPr>
      <w:r>
        <w:t>S</w:t>
      </w:r>
      <w:r w:rsidR="00A86DF3" w:rsidRPr="0014577F">
        <w:t>ources cited by stakeholders which sup</w:t>
      </w:r>
      <w:r w:rsidR="0060225B">
        <w:t>port their views.</w:t>
      </w:r>
    </w:p>
    <w:p w:rsidR="00A86DF3" w:rsidRPr="0014577F" w:rsidRDefault="00A86DF3" w:rsidP="00A86DF3">
      <w:pPr>
        <w:spacing w:before="60" w:after="60"/>
        <w:rPr>
          <w:rStyle w:val="SubtleEmphasis"/>
          <w:rFonts w:ascii="Times New Roman" w:hAnsi="Times New Roman" w:cs="Times New Roman"/>
          <w:sz w:val="24"/>
        </w:rPr>
      </w:pPr>
      <w:r w:rsidRPr="0014577F">
        <w:rPr>
          <w:rStyle w:val="SubtleEmphasis"/>
          <w:rFonts w:ascii="Times New Roman" w:hAnsi="Times New Roman" w:cs="Times New Roman"/>
          <w:sz w:val="24"/>
        </w:rPr>
        <w:t>It also:</w:t>
      </w:r>
    </w:p>
    <w:p w:rsidR="00A86DF3" w:rsidRPr="0014577F" w:rsidRDefault="003B6E38" w:rsidP="00EC02D0">
      <w:pPr>
        <w:pStyle w:val="Bullet"/>
        <w:spacing w:before="60" w:after="60"/>
        <w:rPr>
          <w:rStyle w:val="SubtleEmphasis"/>
          <w:rFonts w:ascii="Times New Roman" w:hAnsi="Times New Roman"/>
          <w:iCs w:val="0"/>
          <w:sz w:val="24"/>
        </w:rPr>
      </w:pPr>
      <w:r>
        <w:rPr>
          <w:rStyle w:val="SubtleEmphasis"/>
          <w:rFonts w:ascii="Times New Roman" w:hAnsi="Times New Roman" w:cs="Times New Roman"/>
          <w:sz w:val="24"/>
        </w:rPr>
        <w:t>D</w:t>
      </w:r>
      <w:r w:rsidR="00A86DF3" w:rsidRPr="0014577F">
        <w:rPr>
          <w:rStyle w:val="SubtleEmphasis"/>
          <w:rFonts w:ascii="Times New Roman" w:hAnsi="Times New Roman" w:cs="Times New Roman"/>
          <w:sz w:val="24"/>
        </w:rPr>
        <w:t>raws together the findings of stakeholder interviews and written submissions</w:t>
      </w:r>
      <w:r>
        <w:rPr>
          <w:rStyle w:val="SubtleEmphasis"/>
          <w:rFonts w:ascii="Times New Roman" w:hAnsi="Times New Roman" w:cs="Times New Roman"/>
          <w:sz w:val="24"/>
        </w:rPr>
        <w:t>;</w:t>
      </w:r>
    </w:p>
    <w:p w:rsidR="00A86DF3" w:rsidRPr="0014577F" w:rsidRDefault="003B6E38" w:rsidP="00EC02D0">
      <w:pPr>
        <w:pStyle w:val="Bullet"/>
        <w:spacing w:before="60" w:after="60"/>
        <w:rPr>
          <w:rStyle w:val="SubtleEmphasis"/>
          <w:rFonts w:ascii="Times New Roman" w:hAnsi="Times New Roman" w:cs="Times New Roman"/>
          <w:sz w:val="24"/>
        </w:rPr>
      </w:pPr>
      <w:r>
        <w:rPr>
          <w:rStyle w:val="SubtleEmphasis"/>
          <w:rFonts w:ascii="Times New Roman" w:hAnsi="Times New Roman" w:cs="Times New Roman"/>
          <w:sz w:val="24"/>
        </w:rPr>
        <w:t>P</w:t>
      </w:r>
      <w:r w:rsidR="00A86DF3" w:rsidRPr="0014577F">
        <w:rPr>
          <w:rStyle w:val="SubtleEmphasis"/>
          <w:rFonts w:ascii="Times New Roman" w:hAnsi="Times New Roman" w:cs="Times New Roman"/>
          <w:sz w:val="24"/>
        </w:rPr>
        <w:t>resents a high level summary of the views of stakeholders and does not seek to critique whether the statements or sources relied upon are accurate</w:t>
      </w:r>
      <w:r>
        <w:rPr>
          <w:rStyle w:val="SubtleEmphasis"/>
          <w:rFonts w:ascii="Times New Roman" w:hAnsi="Times New Roman" w:cs="Times New Roman"/>
          <w:sz w:val="24"/>
        </w:rPr>
        <w:t>; and</w:t>
      </w:r>
    </w:p>
    <w:p w:rsidR="00FF735C" w:rsidRPr="00961073" w:rsidRDefault="003B6E38" w:rsidP="00EC02D0">
      <w:pPr>
        <w:pStyle w:val="Bullet"/>
      </w:pPr>
      <w:bookmarkStart w:id="95" w:name="_Toc426122318"/>
      <w:r>
        <w:t>P</w:t>
      </w:r>
      <w:r w:rsidR="00FF735C">
        <w:t xml:space="preserve">resents </w:t>
      </w:r>
      <w:r w:rsidR="00FF735C" w:rsidRPr="00961073">
        <w:t xml:space="preserve">verbatim comments from stakeholders who participated in the consultation process </w:t>
      </w:r>
      <w:r w:rsidR="00FF735C" w:rsidRPr="00706B60">
        <w:t>in order to il</w:t>
      </w:r>
      <w:r w:rsidR="00FF735C">
        <w:t>lustrate the diversity of views</w:t>
      </w:r>
      <w:r w:rsidR="0060225B">
        <w:t>.</w:t>
      </w:r>
    </w:p>
    <w:p w:rsidR="00DE3EEB" w:rsidRDefault="00DE3EEB" w:rsidP="00493DCB">
      <w:pPr>
        <w:pStyle w:val="Heading3"/>
      </w:pPr>
      <w:bookmarkStart w:id="96" w:name="_Toc427306697"/>
      <w:r w:rsidRPr="00FE7C9C">
        <w:t>Discouraging people from taking up smoking or using tobacco products</w:t>
      </w:r>
      <w:bookmarkEnd w:id="92"/>
      <w:bookmarkEnd w:id="93"/>
      <w:r w:rsidR="00A628B1">
        <w:t xml:space="preserve"> </w:t>
      </w:r>
      <w:r w:rsidR="00B21859">
        <w:rPr>
          <w:i/>
        </w:rPr>
        <w:t>(section</w:t>
      </w:r>
      <w:r w:rsidR="00A628B1" w:rsidRPr="00C86D6C">
        <w:rPr>
          <w:i/>
        </w:rPr>
        <w:t xml:space="preserve"> 3(1</w:t>
      </w:r>
      <w:proofErr w:type="gramStart"/>
      <w:r w:rsidR="00A628B1" w:rsidRPr="00C86D6C">
        <w:rPr>
          <w:i/>
        </w:rPr>
        <w:t>)(</w:t>
      </w:r>
      <w:proofErr w:type="gramEnd"/>
      <w:r w:rsidR="00A628B1" w:rsidRPr="00C86D6C">
        <w:rPr>
          <w:i/>
        </w:rPr>
        <w:t>a)(</w:t>
      </w:r>
      <w:proofErr w:type="spellStart"/>
      <w:r w:rsidR="00A628B1" w:rsidRPr="00C86D6C">
        <w:rPr>
          <w:i/>
        </w:rPr>
        <w:t>i</w:t>
      </w:r>
      <w:proofErr w:type="spellEnd"/>
      <w:r w:rsidR="00A628B1" w:rsidRPr="00C86D6C">
        <w:rPr>
          <w:i/>
        </w:rPr>
        <w:t>) of the TPP Act)</w:t>
      </w:r>
      <w:bookmarkEnd w:id="94"/>
      <w:bookmarkEnd w:id="95"/>
      <w:bookmarkEnd w:id="96"/>
    </w:p>
    <w:p w:rsidR="0003707F" w:rsidRDefault="00BF6EDB" w:rsidP="001502F7">
      <w:r>
        <w:t>Stakeholders</w:t>
      </w:r>
      <w:r w:rsidR="008A4A6B" w:rsidRPr="008D52FA">
        <w:t xml:space="preserve"> were asked to </w:t>
      </w:r>
      <w:r w:rsidR="008A4A6B" w:rsidRPr="008A4A6B">
        <w:t>provide ratings and qualitative</w:t>
      </w:r>
      <w:r w:rsidR="008A4A6B">
        <w:t xml:space="preserve"> </w:t>
      </w:r>
      <w:r w:rsidR="00DE3EEB" w:rsidRPr="003C28FF">
        <w:t>comment on the extent to which they thought that the tobacco</w:t>
      </w:r>
      <w:r w:rsidR="00416DF1">
        <w:t xml:space="preserve"> plain packaging </w:t>
      </w:r>
      <w:r w:rsidR="00DE3EEB" w:rsidRPr="003C28FF">
        <w:t>measure, as part of broader effort, has discouraged people from taking up smoking.</w:t>
      </w:r>
      <w:r w:rsidR="0001516E">
        <w:t xml:space="preserve"> </w:t>
      </w:r>
      <w:r w:rsidR="001D03EB">
        <w:t>The limitations of this data are</w:t>
      </w:r>
      <w:r w:rsidR="0074005B">
        <w:t xml:space="preserve"> discussed at Section 1.3 of this report.</w:t>
      </w:r>
    </w:p>
    <w:p w:rsidR="00EA2E13" w:rsidRDefault="00EA2E13" w:rsidP="00EA2E13">
      <w:pPr>
        <w:pStyle w:val="Heading4"/>
      </w:pPr>
      <w:r w:rsidRPr="0044799A">
        <w:t>Quantitative ratings</w:t>
      </w:r>
    </w:p>
    <w:p w:rsidR="00175D16" w:rsidRPr="00352E39" w:rsidRDefault="00175D16" w:rsidP="00892EB6">
      <w:r w:rsidRPr="00352E39">
        <w:t>T</w:t>
      </w:r>
      <w:r>
        <w:t>able 13</w:t>
      </w:r>
      <w:r w:rsidRPr="00352E39">
        <w:t xml:space="preserve"> presents </w:t>
      </w:r>
      <w:r w:rsidRPr="00D46A69">
        <w:t>posit</w:t>
      </w:r>
      <w:r>
        <w:t xml:space="preserve">ive, negative and unsure </w:t>
      </w:r>
      <w:r w:rsidRPr="00352E39">
        <w:t>ratings</w:t>
      </w:r>
      <w:r>
        <w:t xml:space="preserve"> (and no response)</w:t>
      </w:r>
      <w:r w:rsidRPr="00352E39">
        <w:t xml:space="preserve"> by stakeholder </w:t>
      </w:r>
      <w:r w:rsidRPr="005A034D">
        <w:t xml:space="preserve">category </w:t>
      </w:r>
      <w:r w:rsidRPr="005A034D">
        <w:rPr>
          <w:rFonts w:cs="Times New Roman"/>
          <w:bCs/>
        </w:rPr>
        <w:t>for those stakeholders who participated in the consultation process using the consultation protocol only</w:t>
      </w:r>
      <w:r w:rsidRPr="005A034D">
        <w:t>. T</w:t>
      </w:r>
      <w:r w:rsidRPr="00352E39">
        <w:t>his allows the reader to identify the stakeholder groups who gave each type of rating and the distribution of rat</w:t>
      </w:r>
      <w:r w:rsidR="0060225B">
        <w:t>ings across stakeholder groups.</w:t>
      </w:r>
    </w:p>
    <w:p w:rsidR="00175D16" w:rsidRPr="00E12A7B" w:rsidRDefault="00175D16" w:rsidP="00192E2B">
      <w:pPr>
        <w:pStyle w:val="TblHeading"/>
      </w:pPr>
      <w:proofErr w:type="gramStart"/>
      <w:r>
        <w:t>Table 13</w:t>
      </w:r>
      <w:r w:rsidRPr="00E12A7B">
        <w:t>.</w:t>
      </w:r>
      <w:proofErr w:type="gramEnd"/>
      <w:r w:rsidRPr="00E12A7B">
        <w:t xml:space="preserve"> </w:t>
      </w:r>
      <w:r w:rsidR="00031D1D" w:rsidRPr="00E12A7B">
        <w:t xml:space="preserve">Frequency of types of quantitative ratings </w:t>
      </w:r>
      <w:r w:rsidR="00031D1D">
        <w:t>by stakeholders regarding whether the</w:t>
      </w:r>
      <w:r w:rsidR="00031D1D" w:rsidRPr="008D52FA">
        <w:t xml:space="preserve"> tobacco</w:t>
      </w:r>
      <w:r w:rsidR="00031D1D">
        <w:t xml:space="preserve"> plain packaging </w:t>
      </w:r>
      <w:r w:rsidR="00031D1D" w:rsidRPr="008D52FA">
        <w:t>measure</w:t>
      </w:r>
      <w:r w:rsidR="00031D1D">
        <w:t xml:space="preserve"> has discouraged people from taking up smoking or using tobacco products, </w:t>
      </w:r>
      <w:r w:rsidRPr="00E12A7B">
        <w:t xml:space="preserve">grouped by stakeholder category (for those stakeholders who participated in the consultation process using the consultation protocol </w:t>
      </w:r>
      <w:r>
        <w:t>only</w:t>
      </w:r>
      <w:r w:rsidR="00031D1D">
        <w:t>)</w:t>
      </w:r>
    </w:p>
    <w:tbl>
      <w:tblPr>
        <w:tblW w:w="4831" w:type="pct"/>
        <w:tblInd w:w="108" w:type="dxa"/>
        <w:tblLayout w:type="fixed"/>
        <w:tblCellMar>
          <w:left w:w="0" w:type="dxa"/>
          <w:right w:w="0" w:type="dxa"/>
        </w:tblCellMar>
        <w:tblLook w:val="04A0" w:firstRow="1" w:lastRow="0" w:firstColumn="1" w:lastColumn="0" w:noHBand="0" w:noVBand="1"/>
        <w:tblDescription w:val="For the various stakeholder groups, table 13 shows the frequency of stakeholder quantitative ratings for whether the measure has discouraged people from taking up smoking or using tobacco products.  It has five columns.  Read across for stakeholder group, positive result (to a great extent or somewhat), negative result (not at all or very little), unsure, and no response provided.  Data is presented in the format n/m where n is the number of stakeholders giving the particular rating and m is the total number of stakeholders in the relevant stakeholder group.  Those stakeholders who did not provide a quantitative rating have been included in the denominator as some did go on to provide qualitative responses."/>
      </w:tblPr>
      <w:tblGrid>
        <w:gridCol w:w="2269"/>
        <w:gridCol w:w="1843"/>
        <w:gridCol w:w="1559"/>
        <w:gridCol w:w="1559"/>
        <w:gridCol w:w="1700"/>
      </w:tblGrid>
      <w:tr w:rsidR="000D6B1F" w:rsidRPr="00FE7970" w:rsidTr="006C3771">
        <w:trPr>
          <w:trHeight w:val="704"/>
          <w:tblHeader/>
        </w:trPr>
        <w:tc>
          <w:tcPr>
            <w:tcW w:w="1270" w:type="pct"/>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hideMark/>
          </w:tcPr>
          <w:p w:rsidR="000D6B1F" w:rsidRPr="00FE7970" w:rsidRDefault="000D6B1F" w:rsidP="008A4A6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Stakeholder group</w:t>
            </w:r>
          </w:p>
        </w:tc>
        <w:tc>
          <w:tcPr>
            <w:tcW w:w="103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0D6B1F" w:rsidRPr="00FE7970" w:rsidRDefault="000D6B1F" w:rsidP="00E3391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Positive result (to a great extent/ somewhat)</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0D6B1F" w:rsidRPr="00FE7970" w:rsidRDefault="000D6B1F" w:rsidP="00E3391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Negative result (not at all/ very little) </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0D6B1F" w:rsidRPr="00FE7970" w:rsidRDefault="000D6B1F" w:rsidP="008A4A6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Unsure </w:t>
            </w:r>
          </w:p>
        </w:tc>
        <w:tc>
          <w:tcPr>
            <w:tcW w:w="95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0D6B1F" w:rsidRPr="00FE7970" w:rsidRDefault="000D6B1F" w:rsidP="008A4A6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No Response Provided</w:t>
            </w:r>
            <w:r w:rsidRPr="00FE7970">
              <w:rPr>
                <w:rStyle w:val="FootnoteReference"/>
                <w:rFonts w:cs="Times New Roman"/>
                <w:b/>
                <w:color w:val="000000"/>
                <w:sz w:val="18"/>
                <w:szCs w:val="18"/>
                <w:lang w:eastAsia="en-AU"/>
              </w:rPr>
              <w:footnoteReference w:customMarkFollows="1" w:id="14"/>
              <w:t>[1]</w:t>
            </w:r>
          </w:p>
        </w:tc>
      </w:tr>
      <w:tr w:rsidR="00FF34D4" w:rsidRPr="00FE7970" w:rsidTr="000D6B1F">
        <w:trPr>
          <w:trHeight w:val="572"/>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Public Health Organisations/Experts</w:t>
            </w:r>
          </w:p>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(n=</w:t>
            </w:r>
            <w:r w:rsidR="00B66D69">
              <w:rPr>
                <w:rFonts w:cs="Times New Roman"/>
                <w:color w:val="000000"/>
                <w:sz w:val="18"/>
                <w:szCs w:val="18"/>
                <w:lang w:eastAsia="en-AU"/>
              </w:rPr>
              <w:t>20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16/</w:t>
            </w:r>
            <w:r w:rsidR="00B66D69">
              <w:rPr>
                <w:rFonts w:cs="Times New Roman"/>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4B7A40" w:rsidP="00FF34D4">
            <w:pPr>
              <w:spacing w:after="0"/>
              <w:jc w:val="center"/>
              <w:rPr>
                <w:rFonts w:cs="Times New Roman"/>
                <w:color w:val="000000"/>
                <w:sz w:val="18"/>
                <w:szCs w:val="18"/>
                <w:lang w:eastAsia="en-AU"/>
              </w:rPr>
            </w:pPr>
            <w:r>
              <w:rPr>
                <w:rFonts w:cs="Times New Roman"/>
                <w:color w:val="000000"/>
                <w:sz w:val="18"/>
                <w:szCs w:val="18"/>
                <w:lang w:eastAsia="en-AU"/>
              </w:rPr>
              <w:t>0</w:t>
            </w:r>
            <w:r w:rsidR="00FF34D4">
              <w:rPr>
                <w:rFonts w:cs="Times New Roman"/>
                <w:color w:val="000000"/>
                <w:sz w:val="18"/>
                <w:szCs w:val="18"/>
                <w:lang w:eastAsia="en-AU"/>
              </w:rPr>
              <w:t>/</w:t>
            </w:r>
            <w:r w:rsidR="00B66D69">
              <w:rPr>
                <w:rFonts w:cs="Times New Roman"/>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2/</w:t>
            </w:r>
            <w:r w:rsidR="00B66D69">
              <w:rPr>
                <w:rFonts w:cs="Times New Roman"/>
                <w:color w:val="000000"/>
                <w:sz w:val="18"/>
                <w:szCs w:val="18"/>
                <w:lang w:eastAsia="en-AU"/>
              </w:rPr>
              <w:t>20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D70793"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2/</w:t>
            </w:r>
            <w:r w:rsidR="00B66D69">
              <w:rPr>
                <w:rFonts w:cs="Times New Roman"/>
                <w:color w:val="000000"/>
                <w:sz w:val="18"/>
                <w:szCs w:val="18"/>
                <w:lang w:eastAsia="en-AU"/>
              </w:rPr>
              <w:t>20</w:t>
            </w:r>
          </w:p>
        </w:tc>
      </w:tr>
      <w:tr w:rsidR="00FF34D4"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Government Departments</w:t>
            </w:r>
          </w:p>
          <w:p w:rsidR="00FF34D4" w:rsidRPr="00FE7970" w:rsidRDefault="00FF34D4" w:rsidP="00FF34D4">
            <w:pPr>
              <w:spacing w:before="0" w:after="0"/>
              <w:rPr>
                <w:rFonts w:cs="Times New Roman"/>
                <w:color w:val="000000"/>
                <w:sz w:val="18"/>
                <w:szCs w:val="18"/>
                <w:lang w:eastAsia="en-AU"/>
              </w:rPr>
            </w:pPr>
            <w:r>
              <w:rPr>
                <w:rFonts w:cs="Times New Roman"/>
                <w:color w:val="000000"/>
                <w:sz w:val="18"/>
                <w:szCs w:val="18"/>
                <w:lang w:eastAsia="en-AU"/>
              </w:rPr>
              <w:t>(n=8</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7/8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0</w:t>
            </w:r>
            <w:r w:rsidR="006F06AD">
              <w:rPr>
                <w:rFonts w:cs="Times New Roman"/>
                <w:color w:val="000000"/>
                <w:sz w:val="18"/>
                <w:szCs w:val="18"/>
                <w:lang w:eastAsia="en-AU"/>
              </w:rPr>
              <w:t>/8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0</w:t>
            </w:r>
            <w:r w:rsidR="006F06AD">
              <w:rPr>
                <w:rFonts w:cs="Times New Roman"/>
                <w:color w:val="000000"/>
                <w:sz w:val="18"/>
                <w:szCs w:val="18"/>
                <w:lang w:eastAsia="en-AU"/>
              </w:rPr>
              <w:t>/8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D70793"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1/8</w:t>
            </w:r>
          </w:p>
        </w:tc>
      </w:tr>
      <w:tr w:rsidR="00FF34D4" w:rsidRPr="00FE7970" w:rsidTr="000D6B1F">
        <w:trPr>
          <w:trHeight w:val="485"/>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Non-Government Organisations</w:t>
            </w:r>
          </w:p>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(n=14)</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5/14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6/14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D70793"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2/14</w:t>
            </w:r>
          </w:p>
        </w:tc>
      </w:tr>
      <w:tr w:rsidR="00263493"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63493" w:rsidRPr="00FE7970" w:rsidRDefault="00263493" w:rsidP="00263493">
            <w:pPr>
              <w:spacing w:before="0" w:after="0"/>
              <w:rPr>
                <w:rFonts w:cs="Times New Roman"/>
                <w:color w:val="000000"/>
                <w:sz w:val="18"/>
                <w:szCs w:val="18"/>
                <w:lang w:eastAsia="en-AU"/>
              </w:rPr>
            </w:pPr>
            <w:r w:rsidRPr="00FE7970">
              <w:rPr>
                <w:rFonts w:cs="Times New Roman"/>
                <w:color w:val="000000"/>
                <w:sz w:val="18"/>
                <w:szCs w:val="18"/>
                <w:lang w:eastAsia="en-AU"/>
              </w:rPr>
              <w:lastRenderedPageBreak/>
              <w:t>Tobacco Companies</w:t>
            </w:r>
          </w:p>
          <w:p w:rsidR="00263493" w:rsidRPr="00FE7970" w:rsidRDefault="00263493" w:rsidP="00263493">
            <w:pPr>
              <w:spacing w:before="0" w:after="0"/>
              <w:rPr>
                <w:rFonts w:cs="Times New Roman"/>
                <w:color w:val="000000"/>
                <w:sz w:val="18"/>
                <w:szCs w:val="18"/>
                <w:lang w:eastAsia="en-AU"/>
              </w:rPr>
            </w:pPr>
            <w:r>
              <w:rPr>
                <w:rFonts w:cs="Times New Roman"/>
                <w:color w:val="000000"/>
                <w:sz w:val="18"/>
                <w:szCs w:val="18"/>
                <w:lang w:eastAsia="en-AU"/>
              </w:rPr>
              <w:t>(n=3</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263493" w:rsidRPr="00C05D65" w:rsidRDefault="00263493" w:rsidP="00263493">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63493" w:rsidRPr="00C05D65" w:rsidRDefault="00263493" w:rsidP="00263493">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63493" w:rsidRPr="00C05D65" w:rsidRDefault="00263493" w:rsidP="00263493">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263493" w:rsidRPr="00C05D65" w:rsidRDefault="00263493" w:rsidP="00263493">
            <w:pPr>
              <w:spacing w:after="0"/>
              <w:jc w:val="center"/>
              <w:rPr>
                <w:rFonts w:cs="Times New Roman"/>
                <w:color w:val="000000"/>
                <w:sz w:val="18"/>
                <w:szCs w:val="18"/>
                <w:lang w:eastAsia="en-AU"/>
              </w:rPr>
            </w:pPr>
            <w:r>
              <w:rPr>
                <w:rFonts w:cs="Times New Roman"/>
                <w:color w:val="000000"/>
                <w:sz w:val="18"/>
                <w:szCs w:val="18"/>
                <w:lang w:eastAsia="en-AU"/>
              </w:rPr>
              <w:t>1/3</w:t>
            </w:r>
          </w:p>
        </w:tc>
      </w:tr>
      <w:tr w:rsidR="00FF34D4"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Tobacco Wholesalers/</w:t>
            </w:r>
          </w:p>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Importers</w:t>
            </w:r>
          </w:p>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(n=3)</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0</w:t>
            </w:r>
            <w:r w:rsidR="00E92CAF">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D70793"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0</w:t>
            </w:r>
            <w:r w:rsidR="00E92CAF">
              <w:rPr>
                <w:rFonts w:cs="Times New Roman"/>
                <w:color w:val="000000"/>
                <w:sz w:val="18"/>
                <w:szCs w:val="18"/>
                <w:lang w:eastAsia="en-AU"/>
              </w:rPr>
              <w:t>/3</w:t>
            </w:r>
          </w:p>
        </w:tc>
      </w:tr>
      <w:tr w:rsidR="00FF34D4"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Tobacco Retailers</w:t>
            </w:r>
          </w:p>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(n=68)</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5/68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52/68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7/68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D70793"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4/68</w:t>
            </w:r>
          </w:p>
        </w:tc>
      </w:tr>
      <w:tr w:rsidR="00FF34D4"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Consumers</w:t>
            </w:r>
          </w:p>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(n=412)</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18/412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338/412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29/412</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D70793"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27/412</w:t>
            </w:r>
          </w:p>
        </w:tc>
      </w:tr>
      <w:tr w:rsidR="00FF34D4"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Other</w:t>
            </w:r>
          </w:p>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(n=</w:t>
            </w:r>
            <w:r w:rsidR="00B66D69">
              <w:rPr>
                <w:rFonts w:cs="Times New Roman"/>
                <w:color w:val="000000"/>
                <w:sz w:val="18"/>
                <w:szCs w:val="18"/>
                <w:lang w:eastAsia="en-AU"/>
              </w:rPr>
              <w:t>14</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w:t>
            </w:r>
            <w:r w:rsidR="00B66D69">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4B7A40" w:rsidP="00FF34D4">
            <w:pPr>
              <w:spacing w:after="0"/>
              <w:jc w:val="center"/>
              <w:rPr>
                <w:rFonts w:cs="Times New Roman"/>
                <w:color w:val="000000"/>
                <w:sz w:val="18"/>
                <w:szCs w:val="18"/>
                <w:lang w:eastAsia="en-AU"/>
              </w:rPr>
            </w:pPr>
            <w:r>
              <w:rPr>
                <w:rFonts w:cs="Times New Roman"/>
                <w:color w:val="000000"/>
                <w:sz w:val="18"/>
                <w:szCs w:val="18"/>
                <w:lang w:eastAsia="en-AU"/>
              </w:rPr>
              <w:t>12</w:t>
            </w:r>
            <w:r w:rsidR="00FF34D4">
              <w:rPr>
                <w:rFonts w:cs="Times New Roman"/>
                <w:color w:val="000000"/>
                <w:sz w:val="18"/>
                <w:szCs w:val="18"/>
                <w:lang w:eastAsia="en-AU"/>
              </w:rPr>
              <w:t>/</w:t>
            </w:r>
            <w:r w:rsidR="00B66D69">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w:t>
            </w:r>
            <w:r w:rsidR="00B66D69">
              <w:rPr>
                <w:rFonts w:cs="Times New Roman"/>
                <w:color w:val="000000"/>
                <w:sz w:val="18"/>
                <w:szCs w:val="18"/>
                <w:lang w:eastAsia="en-AU"/>
              </w:rPr>
              <w:t>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D70793"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0</w:t>
            </w:r>
            <w:r w:rsidR="00414071">
              <w:rPr>
                <w:rFonts w:cs="Times New Roman"/>
                <w:color w:val="000000"/>
                <w:sz w:val="18"/>
                <w:szCs w:val="18"/>
                <w:lang w:eastAsia="en-AU"/>
              </w:rPr>
              <w:t>/</w:t>
            </w:r>
            <w:r w:rsidR="00B66D69">
              <w:rPr>
                <w:rFonts w:cs="Times New Roman"/>
                <w:color w:val="000000"/>
                <w:sz w:val="18"/>
                <w:szCs w:val="18"/>
                <w:lang w:eastAsia="en-AU"/>
              </w:rPr>
              <w:t>14</w:t>
            </w:r>
          </w:p>
        </w:tc>
      </w:tr>
      <w:tr w:rsidR="00FF34D4" w:rsidRPr="00FE7970" w:rsidTr="000D6B1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34D4" w:rsidRPr="00FE7970" w:rsidRDefault="00FF34D4" w:rsidP="00FF34D4">
            <w:pPr>
              <w:spacing w:before="0" w:after="0"/>
              <w:rPr>
                <w:rFonts w:cs="Times New Roman"/>
                <w:color w:val="000000"/>
                <w:sz w:val="18"/>
                <w:szCs w:val="18"/>
                <w:lang w:eastAsia="en-AU"/>
              </w:rPr>
            </w:pPr>
            <w:r w:rsidRPr="00FE7970">
              <w:rPr>
                <w:rFonts w:cs="Times New Roman"/>
                <w:color w:val="000000"/>
                <w:sz w:val="18"/>
                <w:szCs w:val="18"/>
                <w:lang w:eastAsia="en-AU"/>
              </w:rPr>
              <w:t>Unspecified</w:t>
            </w:r>
          </w:p>
          <w:p w:rsidR="00FF34D4" w:rsidRPr="00FE7970" w:rsidRDefault="00FF34D4" w:rsidP="00FF34D4">
            <w:pPr>
              <w:spacing w:before="0" w:after="0"/>
              <w:rPr>
                <w:rFonts w:cs="Times New Roman"/>
                <w:color w:val="000000"/>
                <w:sz w:val="18"/>
                <w:szCs w:val="18"/>
                <w:lang w:eastAsia="en-AU"/>
              </w:rPr>
            </w:pPr>
            <w:r>
              <w:rPr>
                <w:rFonts w:cs="Times New Roman"/>
                <w:color w:val="000000"/>
                <w:sz w:val="18"/>
                <w:szCs w:val="18"/>
                <w:lang w:eastAsia="en-AU"/>
              </w:rPr>
              <w:t>(n= 10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8/10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3964C2"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0</w:t>
            </w:r>
            <w:r w:rsidR="002A16A7">
              <w:rPr>
                <w:rFonts w:cs="Times New Roman"/>
                <w:color w:val="000000"/>
                <w:sz w:val="18"/>
                <w:szCs w:val="18"/>
                <w:lang w:eastAsia="en-AU"/>
              </w:rPr>
              <w:t>/10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FF34D4" w:rsidRPr="00D70793" w:rsidRDefault="00FF34D4" w:rsidP="00FF34D4">
            <w:pPr>
              <w:spacing w:after="0"/>
              <w:jc w:val="center"/>
              <w:rPr>
                <w:rFonts w:cs="Times New Roman"/>
                <w:color w:val="000000"/>
                <w:sz w:val="18"/>
                <w:szCs w:val="18"/>
                <w:lang w:eastAsia="en-AU"/>
              </w:rPr>
            </w:pPr>
            <w:r>
              <w:rPr>
                <w:rFonts w:cs="Times New Roman"/>
                <w:color w:val="000000"/>
                <w:sz w:val="18"/>
                <w:szCs w:val="18"/>
                <w:lang w:eastAsia="en-AU"/>
              </w:rPr>
              <w:t>1/10</w:t>
            </w:r>
          </w:p>
        </w:tc>
      </w:tr>
    </w:tbl>
    <w:p w:rsidR="00EA2E13" w:rsidRDefault="00EA2E13" w:rsidP="00EA2E13">
      <w:pPr>
        <w:pStyle w:val="Heading4"/>
      </w:pPr>
      <w:r w:rsidRPr="0044799A">
        <w:t xml:space="preserve">Qualitative </w:t>
      </w:r>
      <w:r w:rsidR="0060225B">
        <w:t>responses</w:t>
      </w:r>
    </w:p>
    <w:p w:rsidR="00FE28CF" w:rsidRPr="008D3757" w:rsidRDefault="00FE28CF" w:rsidP="00EC02D0">
      <w:pPr>
        <w:pStyle w:val="Bullet"/>
        <w:numPr>
          <w:ilvl w:val="0"/>
          <w:numId w:val="0"/>
        </w:numPr>
      </w:pPr>
      <w:r>
        <w:t>Qualitative responses (those that aligned with the consultation protocol and those that did not align with the consultation protocol) from all organisations and individual stakeholders were</w:t>
      </w:r>
      <w:r w:rsidRPr="0044799A">
        <w:t xml:space="preserve"> analysed and then </w:t>
      </w:r>
      <w:r>
        <w:t xml:space="preserve">presented below </w:t>
      </w:r>
      <w:r w:rsidRPr="008D3757">
        <w:t>according to</w:t>
      </w:r>
      <w:r>
        <w:t xml:space="preserve"> themes. </w:t>
      </w:r>
      <w:r w:rsidRPr="008D3757">
        <w:t>These themes include:</w:t>
      </w:r>
    </w:p>
    <w:p w:rsidR="00420222" w:rsidRDefault="003B6E38" w:rsidP="00EC02D0">
      <w:pPr>
        <w:pStyle w:val="Bullet"/>
      </w:pPr>
      <w:r>
        <w:t>D</w:t>
      </w:r>
      <w:r w:rsidR="00420222">
        <w:t>iscouraging young people from taking up smoking</w:t>
      </w:r>
      <w:r>
        <w:t>;</w:t>
      </w:r>
    </w:p>
    <w:p w:rsidR="00420222" w:rsidRDefault="003B6E38" w:rsidP="00EC02D0">
      <w:pPr>
        <w:pStyle w:val="Bullet"/>
      </w:pPr>
      <w:r>
        <w:t>T</w:t>
      </w:r>
      <w:r w:rsidR="00420222">
        <w:t>obacco sales and consumption</w:t>
      </w:r>
      <w:r>
        <w:t>; and</w:t>
      </w:r>
    </w:p>
    <w:p w:rsidR="00420222" w:rsidRDefault="003B6E38" w:rsidP="00EC02D0">
      <w:pPr>
        <w:pStyle w:val="Bullet"/>
      </w:pPr>
      <w:r>
        <w:t>R</w:t>
      </w:r>
      <w:r w:rsidR="00420222">
        <w:t>easons why people may be discouraged from taking up smoking.</w:t>
      </w:r>
    </w:p>
    <w:p w:rsidR="003D151D" w:rsidRDefault="003D151D" w:rsidP="00A4776C">
      <w:pPr>
        <w:pStyle w:val="Heading5"/>
      </w:pPr>
      <w:r>
        <w:t>D</w:t>
      </w:r>
      <w:r w:rsidRPr="003D151D">
        <w:t>iscouraging young people from taking up smoking</w:t>
      </w:r>
    </w:p>
    <w:p w:rsidR="000C027E" w:rsidRPr="003B6E38" w:rsidRDefault="00AF3437" w:rsidP="00EC02D0">
      <w:pPr>
        <w:pStyle w:val="Bullet"/>
        <w:numPr>
          <w:ilvl w:val="0"/>
          <w:numId w:val="0"/>
        </w:numPr>
      </w:pPr>
      <w:r>
        <w:t>P</w:t>
      </w:r>
      <w:r w:rsidR="00554356" w:rsidRPr="000203AA">
        <w:t xml:space="preserve">ublic health </w:t>
      </w:r>
      <w:r w:rsidR="00554356" w:rsidRPr="001D3A00">
        <w:t>orga</w:t>
      </w:r>
      <w:r w:rsidR="00A84BBF">
        <w:t xml:space="preserve">nisation and expert </w:t>
      </w:r>
      <w:r w:rsidR="00A84BBF">
        <w:rPr>
          <w:szCs w:val="20"/>
        </w:rPr>
        <w:t>stakeholder/s</w:t>
      </w:r>
      <w:r w:rsidR="00A84BBF">
        <w:t xml:space="preserve">, government department </w:t>
      </w:r>
      <w:r w:rsidR="00A84BBF">
        <w:rPr>
          <w:szCs w:val="20"/>
        </w:rPr>
        <w:t>stakeholder/s</w:t>
      </w:r>
      <w:r w:rsidR="00A84BBF">
        <w:t xml:space="preserve"> </w:t>
      </w:r>
      <w:r w:rsidR="00A84BBF" w:rsidRPr="00950A1A">
        <w:t xml:space="preserve">and health related NGO </w:t>
      </w:r>
      <w:r w:rsidR="00A84BBF" w:rsidRPr="00950A1A">
        <w:rPr>
          <w:szCs w:val="20"/>
        </w:rPr>
        <w:t>stakeholder/s</w:t>
      </w:r>
      <w:r w:rsidRPr="00950A1A">
        <w:t xml:space="preserve"> who gave a positive rating</w:t>
      </w:r>
      <w:r w:rsidR="00554356" w:rsidRPr="00950A1A">
        <w:t xml:space="preserve"> believe that </w:t>
      </w:r>
      <w:r w:rsidR="0024046B" w:rsidRPr="00950A1A">
        <w:t xml:space="preserve">tobacco </w:t>
      </w:r>
      <w:r w:rsidR="00554356" w:rsidRPr="00950A1A">
        <w:t>plain packaging, as part of broader effort, has had some impact and</w:t>
      </w:r>
      <w:r w:rsidR="005B2853" w:rsidRPr="00950A1A">
        <w:t xml:space="preserve"> it could be expected</w:t>
      </w:r>
      <w:r w:rsidR="00950A1A" w:rsidRPr="00950A1A">
        <w:t xml:space="preserve"> that it will have a significant impact, in the longer term,</w:t>
      </w:r>
      <w:r w:rsidR="00554356" w:rsidRPr="00950A1A">
        <w:t xml:space="preserve"> on discouraging people from taking up smoking. </w:t>
      </w:r>
      <w:r w:rsidR="00063A9D" w:rsidRPr="00950A1A">
        <w:rPr>
          <w:rFonts w:eastAsia="Calibri"/>
        </w:rPr>
        <w:t>They</w:t>
      </w:r>
      <w:r w:rsidR="00063A9D">
        <w:rPr>
          <w:rFonts w:eastAsia="Calibri"/>
        </w:rPr>
        <w:t xml:space="preserve"> </w:t>
      </w:r>
      <w:r w:rsidR="00984242">
        <w:rPr>
          <w:rFonts w:eastAsia="Calibri"/>
        </w:rPr>
        <w:t>noted that</w:t>
      </w:r>
      <w:r w:rsidR="00063A9D">
        <w:rPr>
          <w:rFonts w:eastAsia="Calibri"/>
        </w:rPr>
        <w:t xml:space="preserve"> the</w:t>
      </w:r>
      <w:r w:rsidR="00063A9D" w:rsidRPr="00B40EF0">
        <w:t xml:space="preserve"> early </w:t>
      </w:r>
      <w:r w:rsidR="00F30990">
        <w:t xml:space="preserve">evidence for the effectiveness of tobacco plain packaging on </w:t>
      </w:r>
      <w:r>
        <w:t xml:space="preserve">intermediate </w:t>
      </w:r>
      <w:r w:rsidR="0029125B">
        <w:t>objectives</w:t>
      </w:r>
      <w:r w:rsidR="00F30990">
        <w:t xml:space="preserve"> (i.e. </w:t>
      </w:r>
      <w:r w:rsidR="00AA1D0A">
        <w:t xml:space="preserve">the </w:t>
      </w:r>
      <w:r w:rsidR="00F30990">
        <w:t xml:space="preserve">specific mechanisms under subsection 3(2) of the Act) </w:t>
      </w:r>
      <w:r w:rsidR="006F6093">
        <w:t xml:space="preserve">provides </w:t>
      </w:r>
      <w:r w:rsidR="00063A9D" w:rsidRPr="00B40EF0">
        <w:t xml:space="preserve">confidence that the </w:t>
      </w:r>
      <w:r w:rsidR="00063A9D">
        <w:t>measure</w:t>
      </w:r>
      <w:r w:rsidR="00063A9D" w:rsidRPr="00B40EF0">
        <w:t xml:space="preserve"> </w:t>
      </w:r>
      <w:r w:rsidR="00063A9D" w:rsidRPr="003B6E38">
        <w:t>is workin</w:t>
      </w:r>
      <w:r w:rsidR="00F30990" w:rsidRPr="003B6E38">
        <w:t>g as intended</w:t>
      </w:r>
      <w:r w:rsidR="00063A9D" w:rsidRPr="003B6E38">
        <w:t>.</w:t>
      </w:r>
      <w:r w:rsidR="00421C9F" w:rsidRPr="003B6E38">
        <w:rPr>
          <w:rFonts w:eastAsia="Calibri"/>
        </w:rPr>
        <w:t xml:space="preserve"> </w:t>
      </w:r>
      <w:r w:rsidR="000C027E" w:rsidRPr="003B6E38">
        <w:t>These stakeholders cited the following sourc</w:t>
      </w:r>
      <w:r w:rsidR="0060225B">
        <w:t>es to support their view:</w:t>
      </w:r>
    </w:p>
    <w:p w:rsidR="000C027E" w:rsidRPr="003B6E38" w:rsidRDefault="000C027E" w:rsidP="00EC02D0">
      <w:pPr>
        <w:pStyle w:val="Bullet"/>
      </w:pPr>
      <w:r w:rsidRPr="003B6E38">
        <w:t xml:space="preserve">Australian Institute of Health and Welfare (2014) National Drug Strategy Household Survey 2013, which was cited as </w:t>
      </w:r>
      <w:r w:rsidR="00C34E0E">
        <w:t>showing</w:t>
      </w:r>
      <w:r w:rsidRPr="003B6E38">
        <w:t xml:space="preserve"> that young people are delaying commencing smoking and the age at which young people report having smoked their first full cigarette has increased</w:t>
      </w:r>
      <w:r w:rsidR="003B6E38" w:rsidRPr="003B6E38">
        <w:t>;</w:t>
      </w:r>
    </w:p>
    <w:p w:rsidR="000C027E" w:rsidRDefault="000C027E" w:rsidP="00EC02D0">
      <w:pPr>
        <w:pStyle w:val="Bullet"/>
      </w:pPr>
      <w:r>
        <w:t xml:space="preserve">Lin et al, 2013 and 2014, reports which were cited as </w:t>
      </w:r>
      <w:r w:rsidR="00C34E0E">
        <w:t>showing</w:t>
      </w:r>
      <w:r>
        <w:t xml:space="preserve"> that s</w:t>
      </w:r>
      <w:r w:rsidRPr="00621C61">
        <w:t xml:space="preserve">mokers felt the use of </w:t>
      </w:r>
      <w:r>
        <w:t xml:space="preserve">tobacco plain packaging </w:t>
      </w:r>
      <w:r w:rsidRPr="00621C61">
        <w:t>will discourage young peop</w:t>
      </w:r>
      <w:r>
        <w:t>le from taking up smoking (pre-</w:t>
      </w:r>
      <w:r w:rsidRPr="00621C61">
        <w:t>survey 42</w:t>
      </w:r>
      <w:r>
        <w:t>%</w:t>
      </w:r>
      <w:r w:rsidRPr="00621C61">
        <w:t xml:space="preserve"> and post-survey 47</w:t>
      </w:r>
      <w:r>
        <w:t>%</w:t>
      </w:r>
      <w:r w:rsidRPr="00621C61">
        <w:t xml:space="preserve"> in 2013 and 40</w:t>
      </w:r>
      <w:r>
        <w:t>% in 2014)</w:t>
      </w:r>
      <w:r w:rsidR="003B6E38">
        <w:t>;</w:t>
      </w:r>
    </w:p>
    <w:p w:rsidR="000C027E" w:rsidRPr="00FF348D" w:rsidRDefault="000C027E" w:rsidP="00EC02D0">
      <w:pPr>
        <w:pStyle w:val="Bullet"/>
      </w:pPr>
      <w:r>
        <w:t xml:space="preserve">Dunlop et al, 2015, a peer reviewed article, which was cited as </w:t>
      </w:r>
      <w:r w:rsidR="00C34E0E">
        <w:t>showing</w:t>
      </w:r>
      <w:r>
        <w:t xml:space="preserve"> that </w:t>
      </w:r>
      <w:r w:rsidRPr="00DF2BA7">
        <w:t xml:space="preserve">16% of never-smokers said </w:t>
      </w:r>
      <w:r>
        <w:t>tobacco plain packaging made them less likely to smoke</w:t>
      </w:r>
      <w:r w:rsidR="003B6E38">
        <w:t>; and</w:t>
      </w:r>
    </w:p>
    <w:p w:rsidR="000C027E" w:rsidRDefault="000C027E" w:rsidP="00EC02D0">
      <w:pPr>
        <w:pStyle w:val="Bullet"/>
      </w:pPr>
      <w:r>
        <w:t>White et al, 2015</w:t>
      </w:r>
      <w:r w:rsidR="002541B6">
        <w:t>b</w:t>
      </w:r>
      <w:r>
        <w:t xml:space="preserve">, a peer reviewed article, which was cited as </w:t>
      </w:r>
      <w:r w:rsidR="00C34E0E">
        <w:t>showing</w:t>
      </w:r>
      <w:r>
        <w:t xml:space="preserve"> that amongst</w:t>
      </w:r>
      <w:r w:rsidRPr="00FF348D">
        <w:t xml:space="preserve"> adolescents, the new packs with enlarged </w:t>
      </w:r>
      <w:r>
        <w:t>GHWs</w:t>
      </w:r>
      <w:r w:rsidRPr="00FF348D">
        <w:t xml:space="preserve"> and plain packaging created more uncertainty about whether there were differences between brands</w:t>
      </w:r>
      <w:r>
        <w:t>’</w:t>
      </w:r>
      <w:r w:rsidRPr="00FF348D">
        <w:t xml:space="preserve"> addictive qualities and their ease of being smoked</w:t>
      </w:r>
      <w:r w:rsidR="003B6E38">
        <w:t>.</w:t>
      </w:r>
    </w:p>
    <w:p w:rsidR="00CE2D6B" w:rsidRPr="00CE2D6B" w:rsidRDefault="00CE2D6B" w:rsidP="000C027E">
      <w:r>
        <w:t xml:space="preserve">This group of </w:t>
      </w:r>
      <w:r w:rsidR="007219D7">
        <w:t>stakeholders</w:t>
      </w:r>
      <w:r>
        <w:t xml:space="preserve"> believe, based on evidence of the measure’s positive influence on reduced appeal, increased effectiveness of health warnings and the reduced ability of tobacco </w:t>
      </w:r>
      <w:r>
        <w:lastRenderedPageBreak/>
        <w:t>packaging to mislead consumers</w:t>
      </w:r>
      <w:r w:rsidR="007219D7">
        <w:t>,</w:t>
      </w:r>
      <w:r w:rsidR="00D62B34">
        <w:t xml:space="preserve"> that the measure</w:t>
      </w:r>
      <w:r>
        <w:t xml:space="preserve"> </w:t>
      </w:r>
      <w:r w:rsidR="00B4150F">
        <w:t xml:space="preserve">(in addition to the comprehensive </w:t>
      </w:r>
      <w:r w:rsidR="005B12F4">
        <w:t>suite</w:t>
      </w:r>
      <w:r w:rsidR="00B4150F">
        <w:t xml:space="preserve"> of tobacco control measures) </w:t>
      </w:r>
      <w:r>
        <w:t xml:space="preserve">will </w:t>
      </w:r>
      <w:r w:rsidR="00D20914">
        <w:t>likely have</w:t>
      </w:r>
      <w:r w:rsidR="00D62B34">
        <w:t xml:space="preserve"> </w:t>
      </w:r>
      <w:r w:rsidR="00D20914">
        <w:t>an impact</w:t>
      </w:r>
      <w:r>
        <w:t xml:space="preserve"> on the longer term public health </w:t>
      </w:r>
      <w:r w:rsidR="007219D7">
        <w:t>objectives</w:t>
      </w:r>
      <w:r>
        <w:t xml:space="preserve">, such as discouraging people from taking up smoking. Many of these </w:t>
      </w:r>
      <w:r w:rsidR="007219D7">
        <w:t>stakeholders</w:t>
      </w:r>
      <w:r>
        <w:t xml:space="preserve"> therefore </w:t>
      </w:r>
      <w:r w:rsidRPr="00033703">
        <w:t>highlighted the need to monitor the uptake of tobacco by young people over the long term to determine whether the measure</w:t>
      </w:r>
      <w:r>
        <w:t xml:space="preserve">, through the achievement of </w:t>
      </w:r>
      <w:r w:rsidR="007219D7">
        <w:t>intermediate</w:t>
      </w:r>
      <w:r>
        <w:t xml:space="preserve"> </w:t>
      </w:r>
      <w:r w:rsidR="0029125B">
        <w:t>objectives</w:t>
      </w:r>
      <w:r w:rsidR="005B12F4">
        <w:t>,</w:t>
      </w:r>
      <w:r w:rsidRPr="00033703">
        <w:t xml:space="preserve"> has contributed to </w:t>
      </w:r>
      <w:r>
        <w:t xml:space="preserve">discouraging people from taking up smoking. As tobacco plain packaging is a long term measure, these </w:t>
      </w:r>
      <w:r w:rsidR="007219D7">
        <w:t>stakeholders</w:t>
      </w:r>
      <w:r>
        <w:t xml:space="preserve"> recognise that it was</w:t>
      </w:r>
      <w:r w:rsidRPr="00033703">
        <w:t xml:space="preserve"> not intended </w:t>
      </w:r>
      <w:r>
        <w:t>n</w:t>
      </w:r>
      <w:r w:rsidRPr="00033703">
        <w:t xml:space="preserve">or expected </w:t>
      </w:r>
      <w:r>
        <w:t>to</w:t>
      </w:r>
      <w:r w:rsidRPr="00033703">
        <w:t xml:space="preserve"> dramatically impact </w:t>
      </w:r>
      <w:r>
        <w:t xml:space="preserve">this or </w:t>
      </w:r>
      <w:r w:rsidRPr="00033703">
        <w:t>smoking incidence</w:t>
      </w:r>
      <w:r>
        <w:t xml:space="preserve"> and prevalence</w:t>
      </w:r>
      <w:r w:rsidRPr="00033703">
        <w:t xml:space="preserve"> in the short time period of two years that this review is considering.</w:t>
      </w:r>
    </w:p>
    <w:p w:rsidR="009120D1" w:rsidRDefault="00FF348D" w:rsidP="00FF348D">
      <w:r w:rsidRPr="00217546">
        <w:t>One public health organisation</w:t>
      </w:r>
      <w:r w:rsidR="004D3FD8">
        <w:t xml:space="preserve"> </w:t>
      </w:r>
      <w:r w:rsidR="004D3FD8">
        <w:rPr>
          <w:szCs w:val="20"/>
        </w:rPr>
        <w:t>stakeholder</w:t>
      </w:r>
      <w:r>
        <w:t>,</w:t>
      </w:r>
      <w:r w:rsidRPr="00217546">
        <w:t xml:space="preserve"> one public health expert</w:t>
      </w:r>
      <w:r>
        <w:t xml:space="preserve"> and one health-related NGO</w:t>
      </w:r>
      <w:r w:rsidR="004D3FD8">
        <w:t xml:space="preserve"> </w:t>
      </w:r>
      <w:r w:rsidR="00492735">
        <w:rPr>
          <w:szCs w:val="20"/>
        </w:rPr>
        <w:t>stakeholder</w:t>
      </w:r>
      <w:r w:rsidRPr="00217546">
        <w:t xml:space="preserve"> indicated that they were ‘unsure’ whether the measure had had an impact on discouraging people from taking up smoking as</w:t>
      </w:r>
      <w:r w:rsidR="00814B15">
        <w:t xml:space="preserve"> they said</w:t>
      </w:r>
      <w:r w:rsidRPr="00217546">
        <w:t xml:space="preserve"> it is too early to see whether the achievement of </w:t>
      </w:r>
      <w:r w:rsidR="007219D7">
        <w:t>objective</w:t>
      </w:r>
      <w:r w:rsidRPr="00217546">
        <w:t xml:space="preserve">s </w:t>
      </w:r>
      <w:r w:rsidR="00757515">
        <w:t xml:space="preserve">such as </w:t>
      </w:r>
      <w:r w:rsidRPr="00217546">
        <w:t>reducing the appeal, increasing the effectiveness of health warnings and reducing the ability of tobacco products to mislead consumers</w:t>
      </w:r>
      <w:r w:rsidR="007219D7">
        <w:t>,</w:t>
      </w:r>
      <w:r>
        <w:t xml:space="preserve"> have had an impact on longer term o</w:t>
      </w:r>
      <w:r w:rsidR="00C95C08">
        <w:t>bjectives</w:t>
      </w:r>
      <w:r w:rsidR="00B54F50">
        <w:t xml:space="preserve"> such as discouraging</w:t>
      </w:r>
      <w:r w:rsidR="007219D7">
        <w:t xml:space="preserve"> people from taking up smoking</w:t>
      </w:r>
      <w:r w:rsidR="00AA1D0A">
        <w:t>.</w:t>
      </w:r>
    </w:p>
    <w:p w:rsidR="003C26C8" w:rsidRPr="003C26C8" w:rsidRDefault="00FF407E" w:rsidP="003C26C8">
      <w:pPr>
        <w:pStyle w:val="BulletPoints"/>
        <w:numPr>
          <w:ilvl w:val="0"/>
          <w:numId w:val="0"/>
        </w:numPr>
        <w:spacing w:before="60"/>
      </w:pPr>
      <w:r>
        <w:t>Two t</w:t>
      </w:r>
      <w:r w:rsidR="003C26C8" w:rsidRPr="003C26C8">
        <w:t xml:space="preserve">obacco wholesalers and importers and the small number of retailers who </w:t>
      </w:r>
      <w:r w:rsidR="00C95C08">
        <w:t xml:space="preserve">provided a positive rating </w:t>
      </w:r>
      <w:r w:rsidR="003C26C8" w:rsidRPr="003C26C8">
        <w:t xml:space="preserve">reported that the removal of branding elements has reduced the ‘glamour’ and ‘attractiveness’ of smoking, and has also had a negative effect on people’s perceptions of smoking and smokers. It is for this reason, that they believe young people are likely to be discouraged from taking up smoking. Further to this, one retailer noted that </w:t>
      </w:r>
      <w:r w:rsidR="00AA1D0A">
        <w:t>because</w:t>
      </w:r>
      <w:r w:rsidR="003C26C8" w:rsidRPr="003C26C8">
        <w:t xml:space="preserve"> </w:t>
      </w:r>
      <w:r w:rsidR="00AA1D0A">
        <w:t xml:space="preserve">the measure makes </w:t>
      </w:r>
      <w:r w:rsidR="00BE2397">
        <w:t>GHWs</w:t>
      </w:r>
      <w:r w:rsidR="003C26C8" w:rsidRPr="003C26C8">
        <w:t xml:space="preserve"> more prominent </w:t>
      </w:r>
      <w:r w:rsidR="005900A9">
        <w:t>this reinforces</w:t>
      </w:r>
      <w:r w:rsidR="003C26C8" w:rsidRPr="003C26C8">
        <w:t xml:space="preserve"> the risks associated with smoking</w:t>
      </w:r>
      <w:r w:rsidR="005900A9">
        <w:t xml:space="preserve"> and therefore</w:t>
      </w:r>
      <w:r w:rsidR="003C26C8" w:rsidRPr="003C26C8">
        <w:t xml:space="preserve"> may act as a deterrent to those who have not taken up smoking.</w:t>
      </w:r>
      <w:r w:rsidR="005F5396">
        <w:t xml:space="preserve"> These stakeholders</w:t>
      </w:r>
      <w:r w:rsidR="005F5396" w:rsidRPr="005F5396">
        <w:t xml:space="preserve"> did not cite any sources to support their view.</w:t>
      </w:r>
    </w:p>
    <w:p w:rsidR="00FD34D6" w:rsidRDefault="00C95C08" w:rsidP="00B87AAF">
      <w:r>
        <w:t>T</w:t>
      </w:r>
      <w:r w:rsidR="004D3FD8">
        <w:t xml:space="preserve">obacco company </w:t>
      </w:r>
      <w:r w:rsidR="004D3FD8">
        <w:rPr>
          <w:szCs w:val="20"/>
        </w:rPr>
        <w:t>stakeholder/s</w:t>
      </w:r>
      <w:r w:rsidR="00FF407E">
        <w:t>, retailers</w:t>
      </w:r>
      <w:r w:rsidR="0045153E" w:rsidRPr="003C28FF">
        <w:t xml:space="preserve">, </w:t>
      </w:r>
      <w:r w:rsidR="0045153E">
        <w:t xml:space="preserve">tobacco </w:t>
      </w:r>
      <w:r w:rsidR="00FF407E">
        <w:t>packaging manufacturers and</w:t>
      </w:r>
      <w:r w:rsidR="0045153E" w:rsidRPr="003C28FF">
        <w:t xml:space="preserve"> </w:t>
      </w:r>
      <w:r w:rsidR="00FD34D6">
        <w:t xml:space="preserve">non-health related </w:t>
      </w:r>
      <w:r w:rsidR="004D3FD8">
        <w:t xml:space="preserve">NGO </w:t>
      </w:r>
      <w:r w:rsidR="004D3FD8">
        <w:rPr>
          <w:szCs w:val="20"/>
        </w:rPr>
        <w:t>stakeholder/s</w:t>
      </w:r>
      <w:r w:rsidR="00FF407E">
        <w:t xml:space="preserve"> </w:t>
      </w:r>
      <w:r w:rsidR="00BB47BA">
        <w:t xml:space="preserve">who provided a negative or unsure rating </w:t>
      </w:r>
      <w:r w:rsidR="006A5479">
        <w:t>comment</w:t>
      </w:r>
      <w:r w:rsidR="00E231B4">
        <w:t>ed</w:t>
      </w:r>
      <w:r w:rsidR="006A5479">
        <w:t xml:space="preserve"> on smoking incidence and prevalence, asserting that if there are no significant reductions in these figures since the introduction of tobacco plain packaging then the measur</w:t>
      </w:r>
      <w:r w:rsidR="00CD78D0">
        <w:t xml:space="preserve">e must not have been successful. </w:t>
      </w:r>
      <w:r w:rsidR="00FD34D6" w:rsidRPr="00443951">
        <w:t>These groups</w:t>
      </w:r>
      <w:r w:rsidR="00FD34D6">
        <w:t xml:space="preserve"> cited </w:t>
      </w:r>
      <w:r w:rsidR="005F5396">
        <w:t xml:space="preserve">the following </w:t>
      </w:r>
      <w:r w:rsidR="005900A9">
        <w:t xml:space="preserve">sources </w:t>
      </w:r>
      <w:r w:rsidR="001502F7">
        <w:t>which they believe demonstrate</w:t>
      </w:r>
      <w:r w:rsidR="00DE3EEB">
        <w:t xml:space="preserve"> that youth smoking has increased since the </w:t>
      </w:r>
      <w:r w:rsidR="00CD78D0">
        <w:t xml:space="preserve">introduction of </w:t>
      </w:r>
      <w:r>
        <w:t xml:space="preserve">tobacco </w:t>
      </w:r>
      <w:r w:rsidR="0060225B">
        <w:t>plain packaging:</w:t>
      </w:r>
    </w:p>
    <w:p w:rsidR="00245BE3" w:rsidRDefault="00002056" w:rsidP="00EC02D0">
      <w:pPr>
        <w:pStyle w:val="Bullet"/>
      </w:pPr>
      <w:r>
        <w:t>A 2015 report by SLG economics which included analysis of t</w:t>
      </w:r>
      <w:r w:rsidRPr="00A640A1">
        <w:t xml:space="preserve">he </w:t>
      </w:r>
      <w:r w:rsidRPr="00CC7B49">
        <w:t>Australian Institute of Health and Welfare (2014) National Drug Strategy Household Survey</w:t>
      </w:r>
      <w:r>
        <w:t xml:space="preserve"> 2013 data which was cited as showing that t</w:t>
      </w:r>
      <w:r w:rsidRPr="00CF1858">
        <w:t>he number of daily smokers aged 12 to 17 years increased by 36% between 2010 (from 2.5%) and 2013 (to 3.4%) to its highest level in 7 years</w:t>
      </w:r>
      <w:r>
        <w:t>; and the number of occasional smokers aged 12 to 17 years also increased fro</w:t>
      </w:r>
      <w:r w:rsidR="00245BE3">
        <w:t>m 1.3% to 1.6% over this period;</w:t>
      </w:r>
    </w:p>
    <w:p w:rsidR="00002056" w:rsidRDefault="00245BE3" w:rsidP="00EC02D0">
      <w:pPr>
        <w:pStyle w:val="Bullet"/>
      </w:pPr>
      <w:r>
        <w:t xml:space="preserve">A 2015 report by SLG economics which included analysis of Roy Morgan Research data was cited as showing that direct evidence of smoking prevalence in Australia pre and post the introduction of tobacco plain packaging does not find any statistically significant effect of tobacco plain </w:t>
      </w:r>
      <w:r w:rsidR="00E53018">
        <w:t>packaging</w:t>
      </w:r>
      <w:r>
        <w:t xml:space="preserve"> on reported usage by 14 to 17 years</w:t>
      </w:r>
      <w:r w:rsidR="00E53018">
        <w:t xml:space="preserve">. </w:t>
      </w:r>
      <w:r w:rsidR="00590500">
        <w:t xml:space="preserve">In the same </w:t>
      </w:r>
      <w:r w:rsidR="000551CE">
        <w:t xml:space="preserve">SLG </w:t>
      </w:r>
      <w:r w:rsidR="00590500">
        <w:t>report a</w:t>
      </w:r>
      <w:r w:rsidR="00E53018">
        <w:t xml:space="preserve"> </w:t>
      </w:r>
      <w:r w:rsidR="00CD50C9">
        <w:t xml:space="preserve">May </w:t>
      </w:r>
      <w:r w:rsidR="00E53018">
        <w:t xml:space="preserve">2014 University of Zurich working paper by </w:t>
      </w:r>
      <w:proofErr w:type="spellStart"/>
      <w:r w:rsidR="00E53018">
        <w:t>Kaul</w:t>
      </w:r>
      <w:proofErr w:type="spellEnd"/>
      <w:r w:rsidR="00E53018">
        <w:t xml:space="preserve"> and Wolf was cited as reinforcing </w:t>
      </w:r>
      <w:r w:rsidR="00590500">
        <w:t>that tobacco plain packaging has had no impact on</w:t>
      </w:r>
      <w:r w:rsidR="0060225B">
        <w:t xml:space="preserve"> smoking by 14 to 17 year olds.</w:t>
      </w:r>
    </w:p>
    <w:p w:rsidR="000C027E" w:rsidRDefault="003A4AD2" w:rsidP="00EC02D0">
      <w:pPr>
        <w:pStyle w:val="Bullet"/>
      </w:pPr>
      <w:r w:rsidRPr="003A4AD2">
        <w:t>Health Statistics NSW data from 2012 and 2013, which was referenced in a written submission and cited as showing that smoking prevalence amongst 16-24 year olds has also increased from 16.4% in 2012 to 17.8% in 2013</w:t>
      </w:r>
      <w:r w:rsidR="003B6E38">
        <w:t>; and</w:t>
      </w:r>
    </w:p>
    <w:p w:rsidR="000C027E" w:rsidRDefault="000C027E" w:rsidP="00EC02D0">
      <w:pPr>
        <w:pStyle w:val="Bullet"/>
      </w:pPr>
      <w:proofErr w:type="spellStart"/>
      <w:r w:rsidRPr="001502F7">
        <w:t>Dono</w:t>
      </w:r>
      <w:proofErr w:type="spellEnd"/>
      <w:r w:rsidRPr="001502F7">
        <w:t xml:space="preserve"> </w:t>
      </w:r>
      <w:r>
        <w:t>&amp; Miller,</w:t>
      </w:r>
      <w:r w:rsidRPr="001502F7">
        <w:t xml:space="preserve"> 201</w:t>
      </w:r>
      <w:r w:rsidR="008754F1">
        <w:t>4</w:t>
      </w:r>
      <w:r>
        <w:t xml:space="preserve">, a report which was cited as </w:t>
      </w:r>
      <w:r w:rsidR="00C34E0E">
        <w:t>showing</w:t>
      </w:r>
      <w:r>
        <w:t xml:space="preserve"> that s</w:t>
      </w:r>
      <w:r w:rsidRPr="00CF1858">
        <w:t>moking prevalence for 15-29 year olds increased from 17.6% in 2011 to 19.5% in 2013</w:t>
      </w:r>
      <w:r w:rsidR="0060225B">
        <w:t>.</w:t>
      </w:r>
    </w:p>
    <w:p w:rsidR="003C7CF1" w:rsidRPr="003C7CF1" w:rsidRDefault="003C7CF1" w:rsidP="00EC02D0">
      <w:pPr>
        <w:pStyle w:val="Bullet"/>
        <w:numPr>
          <w:ilvl w:val="0"/>
          <w:numId w:val="0"/>
        </w:numPr>
      </w:pPr>
      <w:r>
        <w:lastRenderedPageBreak/>
        <w:t>Some consumers</w:t>
      </w:r>
      <w:r w:rsidR="00604A67">
        <w:t xml:space="preserve"> and stakeholders from the ‘other and unspecified’ category</w:t>
      </w:r>
      <w:r>
        <w:t xml:space="preserve"> who gave a negative response provided anecdotal evidence which suggests that they still see young people smoking and their smoking habits (and those of friends) have not changed as a result of the measure. </w:t>
      </w:r>
      <w:r w:rsidR="005F5396" w:rsidRPr="005F5396">
        <w:t>They did not cite any sources to support their view.</w:t>
      </w:r>
    </w:p>
    <w:p w:rsidR="00DE3EEB" w:rsidRDefault="00DE3EEB" w:rsidP="00A4776C">
      <w:pPr>
        <w:pStyle w:val="Heading5"/>
      </w:pPr>
      <w:bookmarkStart w:id="97" w:name="_Toc418420315"/>
      <w:bookmarkStart w:id="98" w:name="_Toc418770498"/>
      <w:bookmarkStart w:id="99" w:name="_Toc419889576"/>
      <w:bookmarkStart w:id="100" w:name="_Toc422478383"/>
      <w:r w:rsidRPr="0042286C">
        <w:t>Tobacco sales</w:t>
      </w:r>
      <w:bookmarkEnd w:id="97"/>
      <w:bookmarkEnd w:id="98"/>
      <w:bookmarkEnd w:id="99"/>
      <w:r w:rsidRPr="0042286C">
        <w:t xml:space="preserve"> </w:t>
      </w:r>
      <w:r w:rsidR="00C62C0D">
        <w:t>and consumption</w:t>
      </w:r>
      <w:bookmarkEnd w:id="100"/>
    </w:p>
    <w:p w:rsidR="004867EC" w:rsidRPr="004867EC" w:rsidRDefault="004867EC" w:rsidP="004867EC">
      <w:r>
        <w:t>Although not a direct indicator that tobacco plain packaging has had an impact on discouraging people from taking up smoking</w:t>
      </w:r>
      <w:r w:rsidR="00DA35D5">
        <w:t>:</w:t>
      </w:r>
      <w:r>
        <w:t xml:space="preserve"> </w:t>
      </w:r>
      <w:r w:rsidR="00A8729C">
        <w:t xml:space="preserve">public health </w:t>
      </w:r>
      <w:r w:rsidR="00BE44BF">
        <w:t xml:space="preserve">advocates </w:t>
      </w:r>
      <w:r w:rsidR="0079072F">
        <w:t>cited sources which they believe suggest that tobacco sales and consumption is at an all-time low</w:t>
      </w:r>
      <w:r w:rsidR="00BE44BF">
        <w:t>;</w:t>
      </w:r>
      <w:r w:rsidR="0079072F">
        <w:t xml:space="preserve"> </w:t>
      </w:r>
      <w:r w:rsidR="00A8729C">
        <w:t xml:space="preserve">and the tobacco industry </w:t>
      </w:r>
      <w:r w:rsidR="00BE44BF">
        <w:t xml:space="preserve">and retailers </w:t>
      </w:r>
      <w:r w:rsidR="00C62C0D">
        <w:t xml:space="preserve">cited sources which they </w:t>
      </w:r>
      <w:r w:rsidR="005900A9">
        <w:t>believe suggest</w:t>
      </w:r>
      <w:r w:rsidR="00C62C0D">
        <w:t xml:space="preserve"> that tobacco sales and consumption </w:t>
      </w:r>
      <w:r w:rsidR="005900A9">
        <w:t>has</w:t>
      </w:r>
      <w:r w:rsidR="00C62C0D" w:rsidRPr="00C62C0D">
        <w:t xml:space="preserve"> remained steady and in some cases increased</w:t>
      </w:r>
      <w:r w:rsidR="000B7A5E">
        <w:t xml:space="preserve"> since t</w:t>
      </w:r>
      <w:r w:rsidR="0060225B">
        <w:t>he introduction of the measure.</w:t>
      </w:r>
    </w:p>
    <w:p w:rsidR="00C115B6" w:rsidRDefault="00C115B6" w:rsidP="00C115B6">
      <w:pPr>
        <w:rPr>
          <w:lang w:eastAsia="en-AU"/>
        </w:rPr>
      </w:pPr>
      <w:r>
        <w:rPr>
          <w:lang w:eastAsia="en-AU"/>
        </w:rPr>
        <w:t xml:space="preserve">Public health organisation </w:t>
      </w:r>
      <w:r>
        <w:rPr>
          <w:szCs w:val="20"/>
        </w:rPr>
        <w:t>stakeholder/s</w:t>
      </w:r>
      <w:r>
        <w:rPr>
          <w:lang w:eastAsia="en-AU"/>
        </w:rPr>
        <w:t xml:space="preserve"> and government department </w:t>
      </w:r>
      <w:r>
        <w:rPr>
          <w:szCs w:val="20"/>
        </w:rPr>
        <w:t>stakeholder/s</w:t>
      </w:r>
      <w:r>
        <w:rPr>
          <w:lang w:eastAsia="en-AU"/>
        </w:rPr>
        <w:t xml:space="preserve"> </w:t>
      </w:r>
      <w:r>
        <w:t>supported their vi</w:t>
      </w:r>
      <w:r w:rsidR="0060225B">
        <w:t>ews with the following sources:</w:t>
      </w:r>
    </w:p>
    <w:p w:rsidR="00C115B6" w:rsidRDefault="00C115B6" w:rsidP="00EC02D0">
      <w:pPr>
        <w:pStyle w:val="Bullet"/>
      </w:pPr>
      <w:r>
        <w:t xml:space="preserve">ABS data from 2014, which was referenced in a written submission and cited as </w:t>
      </w:r>
      <w:r w:rsidR="00C34E0E">
        <w:t>showing</w:t>
      </w:r>
      <w:r>
        <w:t xml:space="preserve"> that r</w:t>
      </w:r>
      <w:r w:rsidRPr="00CF1858">
        <w:t>ecent figures released by the ABS show that total consumption of tobacco and cigarettes in the March quarter 2014 is the lowest ever recorded, as measured by estimated expenditure on tobacco products: $5.135 billion in September 1959; $3.508 billion in December 2012; and $3.405 billion in March 2014</w:t>
      </w:r>
      <w:r w:rsidR="003B6E38">
        <w:t>;</w:t>
      </w:r>
      <w:r w:rsidRPr="00CF1858">
        <w:t xml:space="preserve"> </w:t>
      </w:r>
      <w:r w:rsidR="003B6E38">
        <w:t>and</w:t>
      </w:r>
    </w:p>
    <w:p w:rsidR="00C115B6" w:rsidRPr="00365C1E" w:rsidRDefault="00C115B6" w:rsidP="00EC02D0">
      <w:pPr>
        <w:pStyle w:val="Bullet"/>
      </w:pPr>
      <w:r>
        <w:t>Co</w:t>
      </w:r>
      <w:r w:rsidR="002C1933">
        <w:t>mmonwealth Treasury information</w:t>
      </w:r>
      <w:r>
        <w:t xml:space="preserve">, which was cited as </w:t>
      </w:r>
      <w:r w:rsidR="00C34E0E">
        <w:t>showing</w:t>
      </w:r>
      <w:r>
        <w:t xml:space="preserve"> </w:t>
      </w:r>
      <w:r w:rsidRPr="00CF1858">
        <w:t>that tobacco clearances (including excise and customs duty) fell by 3.4% in 2013 relative to 2012 when tobacco plain packaging was introduced. Clearances are an indicator of tobacco v</w:t>
      </w:r>
      <w:r w:rsidR="003B6E38">
        <w:t>olumes in the Australian market.</w:t>
      </w:r>
    </w:p>
    <w:p w:rsidR="00C115B6" w:rsidRDefault="00C115B6" w:rsidP="00C115B6">
      <w:r>
        <w:t>The tobacco industry supported their vie</w:t>
      </w:r>
      <w:r w:rsidR="00951DE1">
        <w:t>ws with the following sources:</w:t>
      </w:r>
    </w:p>
    <w:p w:rsidR="00C115B6" w:rsidRDefault="00C115B6" w:rsidP="00EC02D0">
      <w:pPr>
        <w:pStyle w:val="Bullet"/>
      </w:pPr>
      <w:r>
        <w:rPr>
          <w:lang w:eastAsia="en-AU"/>
        </w:rPr>
        <w:t xml:space="preserve">Non-public Aztec sales data, which was referenced in a written submission from a major industry body and cited as </w:t>
      </w:r>
      <w:r w:rsidR="00C34E0E">
        <w:t>showing</w:t>
      </w:r>
      <w:r>
        <w:rPr>
          <w:lang w:eastAsia="en-AU"/>
        </w:rPr>
        <w:t xml:space="preserve"> that </w:t>
      </w:r>
      <w:r w:rsidRPr="004423AC">
        <w:t xml:space="preserve">there has been no overall decline in tobacco sales </w:t>
      </w:r>
      <w:r>
        <w:t xml:space="preserve">as a result of plain packaging. </w:t>
      </w:r>
      <w:r w:rsidRPr="004423AC">
        <w:t>Some stores have even reported an increase in the volume of tobacco sold since plain packaging was introduced, albeit an increase in cheaper tobacco products (the sub-value and roll-your-own segments). Actual sales data from Aztec shows that the value of tobacco sales has increased since plain packaging, up 8.8% fo</w:t>
      </w:r>
      <w:r>
        <w:t>r the 12 months to January 2015</w:t>
      </w:r>
      <w:r w:rsidR="003B6E38">
        <w:t>;</w:t>
      </w:r>
    </w:p>
    <w:p w:rsidR="00C115B6" w:rsidRDefault="00C115B6" w:rsidP="00EC02D0">
      <w:pPr>
        <w:pStyle w:val="Bullet"/>
      </w:pPr>
      <w:r>
        <w:t xml:space="preserve">Davidson and </w:t>
      </w:r>
      <w:r w:rsidR="00EC3C45">
        <w:t xml:space="preserve">de </w:t>
      </w:r>
      <w:r>
        <w:t xml:space="preserve">Silva, 2014, a peer reviewed article, which was cited as </w:t>
      </w:r>
      <w:r w:rsidR="00C34E0E">
        <w:t>showing</w:t>
      </w:r>
      <w:r>
        <w:t xml:space="preserve"> that </w:t>
      </w:r>
      <w:r w:rsidRPr="004423AC">
        <w:t xml:space="preserve">there is no empirical evidence to support the notion that the </w:t>
      </w:r>
      <w:r>
        <w:t xml:space="preserve">tobacco plain packaging </w:t>
      </w:r>
      <w:r w:rsidRPr="004423AC">
        <w:t>policy has resulted in lower household expenditure on tobacco than t</w:t>
      </w:r>
      <w:r>
        <w:t>here otherwise would have been</w:t>
      </w:r>
      <w:r w:rsidR="003B6E38">
        <w:t>;</w:t>
      </w:r>
    </w:p>
    <w:p w:rsidR="00C115B6" w:rsidRDefault="00C115B6" w:rsidP="00EC02D0">
      <w:pPr>
        <w:pStyle w:val="Bullet"/>
      </w:pPr>
      <w:r>
        <w:t xml:space="preserve">Non-public </w:t>
      </w:r>
      <w:proofErr w:type="spellStart"/>
      <w:r>
        <w:t>Infoview</w:t>
      </w:r>
      <w:proofErr w:type="spellEnd"/>
      <w:r>
        <w:t xml:space="preserve"> Technologies data from 2014 which was referenced in a written submission and cited as </w:t>
      </w:r>
      <w:r w:rsidR="00C34E0E">
        <w:t>showing</w:t>
      </w:r>
      <w:r>
        <w:t xml:space="preserve"> </w:t>
      </w:r>
      <w:r w:rsidRPr="004423AC">
        <w:t xml:space="preserve">that </w:t>
      </w:r>
      <w:r w:rsidRPr="001C7E4C">
        <w:rPr>
          <w:i/>
        </w:rPr>
        <w:t>legal</w:t>
      </w:r>
      <w:r w:rsidRPr="004423AC">
        <w:t xml:space="preserve"> volumes of tobacco increased by the equivalent of 59 million sticks (or 0.3%) in the first 12 months following the implementation of plain pac</w:t>
      </w:r>
      <w:r>
        <w:t>kaging</w:t>
      </w:r>
      <w:r w:rsidR="003B6E38">
        <w:t>;</w:t>
      </w:r>
    </w:p>
    <w:p w:rsidR="00C115B6" w:rsidRPr="00595AA2" w:rsidRDefault="00C115B6" w:rsidP="00EC02D0">
      <w:pPr>
        <w:pStyle w:val="Bullet"/>
      </w:pPr>
      <w:r>
        <w:t xml:space="preserve">Davidson, 2014, a peer reviewed article, which was cited as </w:t>
      </w:r>
      <w:r w:rsidR="00C34E0E">
        <w:t>showing</w:t>
      </w:r>
      <w:r>
        <w:t xml:space="preserve"> that </w:t>
      </w:r>
      <w:r w:rsidRPr="004423AC">
        <w:t xml:space="preserve">the first full year of mandatory </w:t>
      </w:r>
      <w:r>
        <w:t xml:space="preserve">tobacco plain packaging </w:t>
      </w:r>
      <w:r w:rsidRPr="004423AC">
        <w:t>actually resulte</w:t>
      </w:r>
      <w:r>
        <w:t xml:space="preserve">d in an increase in </w:t>
      </w:r>
      <w:r w:rsidRPr="00595AA2">
        <w:t>expenditure</w:t>
      </w:r>
      <w:r w:rsidR="003B6E38">
        <w:t>;</w:t>
      </w:r>
    </w:p>
    <w:p w:rsidR="00C115B6" w:rsidRPr="00595AA2" w:rsidRDefault="00C115B6" w:rsidP="00EC02D0">
      <w:pPr>
        <w:pStyle w:val="Bullet"/>
      </w:pPr>
      <w:r>
        <w:t xml:space="preserve">ABS data from 2014 which was referenced in a written submission and cited as </w:t>
      </w:r>
      <w:r w:rsidR="00C34E0E">
        <w:t>showing</w:t>
      </w:r>
      <w:r>
        <w:t xml:space="preserve"> that </w:t>
      </w:r>
      <w:r w:rsidRPr="00595AA2">
        <w:t>while there has been a decline in the volume of tobacco sales since the 1970s, data from the ABS reveal that this decline went into reverse the year after tobacco plain packaging was introduced, with the rise ending after an above inflation tax rise in December 2013</w:t>
      </w:r>
      <w:r w:rsidR="003B6E38">
        <w:t>;</w:t>
      </w:r>
    </w:p>
    <w:p w:rsidR="00C115B6" w:rsidRPr="00595AA2" w:rsidRDefault="00C115B6" w:rsidP="00EC02D0">
      <w:pPr>
        <w:pStyle w:val="Bullet"/>
      </w:pPr>
      <w:r>
        <w:lastRenderedPageBreak/>
        <w:t xml:space="preserve">ABS data from 2014 which was referenced in a written submission and cited as </w:t>
      </w:r>
      <w:r w:rsidR="00C34E0E">
        <w:t>showing</w:t>
      </w:r>
      <w:r>
        <w:t xml:space="preserve"> that </w:t>
      </w:r>
      <w:r w:rsidRPr="00595AA2">
        <w:t>the rate of decline in cigarette and tobacco consumption value has not accelerated following the introduction of tobacco plain packaging, the rate of decline fell between 2012 and 2013, the period when tobacco</w:t>
      </w:r>
      <w:r w:rsidR="003B6E38">
        <w:t xml:space="preserve"> plain packaging was introduced;</w:t>
      </w:r>
    </w:p>
    <w:p w:rsidR="00C115B6" w:rsidRPr="00595AA2" w:rsidRDefault="00C115B6" w:rsidP="00EC02D0">
      <w:pPr>
        <w:pStyle w:val="Bullet"/>
      </w:pPr>
      <w:r>
        <w:t xml:space="preserve">ABS data from 2014 which was referenced in a written submission and cited as </w:t>
      </w:r>
      <w:r w:rsidR="00C34E0E">
        <w:t>showing</w:t>
      </w:r>
      <w:r>
        <w:t xml:space="preserve"> that </w:t>
      </w:r>
      <w:r w:rsidRPr="00595AA2">
        <w:t>the data shows there is no substantial decrease in tobacco consumption value in the year following tobacco plain packaging (i.e. 2013). Although there is a decline in 2014 relative to 2013, this correlates with the implementation of the ex</w:t>
      </w:r>
      <w:r w:rsidR="003A5453">
        <w:t>cise increase in December 2013</w:t>
      </w:r>
      <w:r w:rsidR="003B6E38">
        <w:t>;</w:t>
      </w:r>
    </w:p>
    <w:p w:rsidR="00C115B6" w:rsidRPr="00595AA2" w:rsidRDefault="00C115B6" w:rsidP="00EC02D0">
      <w:pPr>
        <w:pStyle w:val="Bullet"/>
        <w:rPr>
          <w:b/>
        </w:rPr>
      </w:pPr>
      <w:r>
        <w:t xml:space="preserve">ABS data from 2014 which was referenced in a written submission and cited as </w:t>
      </w:r>
      <w:r w:rsidR="00C34E0E">
        <w:t>showing</w:t>
      </w:r>
      <w:r>
        <w:t xml:space="preserve"> that </w:t>
      </w:r>
      <w:r w:rsidRPr="00595AA2">
        <w:t xml:space="preserve">the rate of decline of cigarette and tobacco consumption value relative to the previous year slowed from 2.5% in 2010 to 1.7% in 2013 (according to seasonally adjusted chain volume measure). </w:t>
      </w:r>
      <w:r>
        <w:t>The A</w:t>
      </w:r>
      <w:r w:rsidRPr="00595AA2">
        <w:t>BS</w:t>
      </w:r>
      <w:r>
        <w:t xml:space="preserve"> data was also cited as</w:t>
      </w:r>
      <w:r w:rsidRPr="00595AA2">
        <w:t xml:space="preserve"> show</w:t>
      </w:r>
      <w:r>
        <w:t>ing</w:t>
      </w:r>
      <w:r w:rsidRPr="00595AA2">
        <w:t xml:space="preserve"> that there was no evidence of a significant decline in tobacco expenditure in 2014 and that the rate of decline of tobacco expenditure slowed from 2.9% in 2010 to 0.9% in 2013</w:t>
      </w:r>
      <w:r w:rsidR="003B6E38">
        <w:t>;</w:t>
      </w:r>
    </w:p>
    <w:p w:rsidR="00C115B6" w:rsidRDefault="00C115B6" w:rsidP="00EC02D0">
      <w:pPr>
        <w:pStyle w:val="Bullet"/>
        <w:rPr>
          <w:b/>
        </w:rPr>
      </w:pPr>
      <w:proofErr w:type="spellStart"/>
      <w:r>
        <w:rPr>
          <w:iCs/>
        </w:rPr>
        <w:t>Scollo</w:t>
      </w:r>
      <w:proofErr w:type="spellEnd"/>
      <w:r>
        <w:rPr>
          <w:iCs/>
        </w:rPr>
        <w:t xml:space="preserve"> et al, 2015, peer reviewed article, </w:t>
      </w:r>
      <w:r w:rsidR="003A5453">
        <w:rPr>
          <w:iCs/>
        </w:rPr>
        <w:t>which was</w:t>
      </w:r>
      <w:r>
        <w:rPr>
          <w:iCs/>
        </w:rPr>
        <w:t xml:space="preserve"> cited as</w:t>
      </w:r>
      <w:r w:rsidR="003A5453">
        <w:rPr>
          <w:iCs/>
        </w:rPr>
        <w:t xml:space="preserve"> </w:t>
      </w:r>
      <w:r w:rsidR="00C34E0E">
        <w:t>showing</w:t>
      </w:r>
      <w:r>
        <w:rPr>
          <w:iCs/>
        </w:rPr>
        <w:t xml:space="preserve"> that </w:t>
      </w:r>
      <w:r w:rsidRPr="00595AA2">
        <w:rPr>
          <w:iCs/>
        </w:rPr>
        <w:t xml:space="preserve">consumption </w:t>
      </w:r>
      <w:r w:rsidRPr="00595AA2">
        <w:rPr>
          <w:bCs/>
          <w:iCs/>
        </w:rPr>
        <w:t xml:space="preserve">did not change </w:t>
      </w:r>
      <w:r w:rsidRPr="00595AA2">
        <w:rPr>
          <w:iCs/>
        </w:rPr>
        <w:t>in plain packaging year 1 among daily, regular or current smokers or among smokers of brands in any market segment</w:t>
      </w:r>
      <w:r w:rsidRPr="00595AA2">
        <w:t>. Only after the government increased tobacco excise</w:t>
      </w:r>
      <w:r w:rsidRPr="001E6CF0">
        <w:t xml:space="preserve"> taxes by 12.5% in December 2013 did consumption measured </w:t>
      </w:r>
      <w:r w:rsidRPr="00595AA2">
        <w:t>by the study begin to decline</w:t>
      </w:r>
      <w:r w:rsidR="003B6E38">
        <w:t>; and</w:t>
      </w:r>
    </w:p>
    <w:p w:rsidR="00C115B6" w:rsidRPr="00595AA2" w:rsidRDefault="00C115B6" w:rsidP="00EC02D0">
      <w:pPr>
        <w:pStyle w:val="Bullet"/>
        <w:rPr>
          <w:b/>
        </w:rPr>
      </w:pPr>
      <w:proofErr w:type="spellStart"/>
      <w:r>
        <w:t>Euromonitor</w:t>
      </w:r>
      <w:proofErr w:type="spellEnd"/>
      <w:r>
        <w:t xml:space="preserve"> International tobacco market data, a report from 2014, which was cited as </w:t>
      </w:r>
      <w:r w:rsidR="00FE0748">
        <w:t>showing</w:t>
      </w:r>
      <w:r>
        <w:t xml:space="preserve"> </w:t>
      </w:r>
      <w:r w:rsidRPr="00595AA2">
        <w:t>a continuation of around 3-4% decline every year from 2011 until 2014, and specifically shows 25% less decline</w:t>
      </w:r>
      <w:r w:rsidRPr="001E6CF0">
        <w:t xml:space="preserve"> in 2013 compared to 2012. It also marks a slower rate than from 2009-2010 and 2010-2011, which were </w:t>
      </w:r>
      <w:r>
        <w:t>7% and 4% declines respectively</w:t>
      </w:r>
      <w:r w:rsidRPr="003B10C3">
        <w:t>).</w:t>
      </w:r>
    </w:p>
    <w:p w:rsidR="008C491B" w:rsidRDefault="008C491B" w:rsidP="00EC02D0">
      <w:pPr>
        <w:pStyle w:val="Bullet"/>
        <w:numPr>
          <w:ilvl w:val="0"/>
          <w:numId w:val="0"/>
        </w:numPr>
      </w:pPr>
      <w:r>
        <w:t xml:space="preserve">Retailers who gave a negative rating indicated that their tobacco sales have remained the same and in some </w:t>
      </w:r>
      <w:r w:rsidR="003C7CF1">
        <w:t xml:space="preserve">cases </w:t>
      </w:r>
      <w:r w:rsidR="00F628FF">
        <w:t xml:space="preserve">have </w:t>
      </w:r>
      <w:r w:rsidR="003C7CF1">
        <w:t xml:space="preserve">increased. </w:t>
      </w:r>
      <w:r w:rsidR="005F5396" w:rsidRPr="005F5396">
        <w:t>They did not cite any sources to support their view.</w:t>
      </w:r>
    </w:p>
    <w:p w:rsidR="00DE3EEB" w:rsidRPr="00F17798" w:rsidRDefault="00A93B64" w:rsidP="00A4776C">
      <w:pPr>
        <w:pStyle w:val="Heading5"/>
      </w:pPr>
      <w:bookmarkStart w:id="101" w:name="_Toc418420316"/>
      <w:bookmarkStart w:id="102" w:name="_Toc418770499"/>
      <w:bookmarkStart w:id="103" w:name="_Toc419889577"/>
      <w:bookmarkStart w:id="104" w:name="_Toc422478384"/>
      <w:r w:rsidRPr="00F17798">
        <w:t xml:space="preserve">Reasons why people </w:t>
      </w:r>
      <w:bookmarkEnd w:id="101"/>
      <w:bookmarkEnd w:id="102"/>
      <w:bookmarkEnd w:id="103"/>
      <w:r w:rsidR="005F6FEE" w:rsidRPr="00F17798">
        <w:t>may be discouraged from taking up smoking</w:t>
      </w:r>
      <w:bookmarkEnd w:id="104"/>
    </w:p>
    <w:p w:rsidR="00DE3EEB" w:rsidRPr="00F17798" w:rsidRDefault="00853F00" w:rsidP="00EC02D0">
      <w:pPr>
        <w:pStyle w:val="Bullet"/>
        <w:numPr>
          <w:ilvl w:val="0"/>
          <w:numId w:val="0"/>
        </w:numPr>
      </w:pPr>
      <w:r w:rsidRPr="00F17798">
        <w:t>The tobacco industry</w:t>
      </w:r>
      <w:r w:rsidR="002D7E19">
        <w:t>, retailers</w:t>
      </w:r>
      <w:r w:rsidR="00FF5AB6">
        <w:t xml:space="preserve">, </w:t>
      </w:r>
      <w:r w:rsidR="00604A67">
        <w:t xml:space="preserve">and </w:t>
      </w:r>
      <w:r w:rsidR="008E1F87">
        <w:t>consumers</w:t>
      </w:r>
      <w:r w:rsidRPr="00F17798">
        <w:t xml:space="preserve"> </w:t>
      </w:r>
      <w:r w:rsidR="008C491B">
        <w:t>who provided a negative rating</w:t>
      </w:r>
      <w:r w:rsidR="003C7CF1">
        <w:t xml:space="preserve"> (and some positive ratings)</w:t>
      </w:r>
      <w:r w:rsidR="008C491B">
        <w:t xml:space="preserve"> </w:t>
      </w:r>
      <w:r w:rsidRPr="00F17798">
        <w:t xml:space="preserve">believe </w:t>
      </w:r>
      <w:r w:rsidR="00030B08" w:rsidRPr="00F17798">
        <w:t xml:space="preserve">that </w:t>
      </w:r>
      <w:r w:rsidR="00405377" w:rsidRPr="00F17798">
        <w:t>‘</w:t>
      </w:r>
      <w:r w:rsidR="00DE3EEB" w:rsidRPr="00F17798">
        <w:t>price</w:t>
      </w:r>
      <w:r w:rsidR="00405377" w:rsidRPr="00F17798">
        <w:t>’</w:t>
      </w:r>
      <w:r w:rsidR="00DE3EEB" w:rsidRPr="00F17798">
        <w:t xml:space="preserve"> continues to be</w:t>
      </w:r>
      <w:r w:rsidR="00E761CD" w:rsidRPr="00F17798">
        <w:t xml:space="preserve"> one of</w:t>
      </w:r>
      <w:r w:rsidR="00DE3EEB" w:rsidRPr="00F17798">
        <w:t xml:space="preserve"> the major disincentive</w:t>
      </w:r>
      <w:r w:rsidR="00E761CD" w:rsidRPr="00F17798">
        <w:t>s</w:t>
      </w:r>
      <w:r w:rsidR="00DE3EEB" w:rsidRPr="00F17798">
        <w:t xml:space="preserve"> for people to start smoking, and given</w:t>
      </w:r>
      <w:r w:rsidR="00E761CD" w:rsidRPr="00F17798">
        <w:t xml:space="preserve"> that</w:t>
      </w:r>
      <w:r w:rsidR="00405377" w:rsidRPr="00F17798">
        <w:t xml:space="preserve"> tax excise</w:t>
      </w:r>
      <w:r w:rsidR="00E761CD" w:rsidRPr="00F17798">
        <w:t xml:space="preserve"> increases</w:t>
      </w:r>
      <w:r w:rsidR="00DE3EEB" w:rsidRPr="00F17798">
        <w:t xml:space="preserve"> have </w:t>
      </w:r>
      <w:r w:rsidR="005900A9" w:rsidRPr="00F17798">
        <w:t>occurred within the same</w:t>
      </w:r>
      <w:r w:rsidR="00DE3EEB" w:rsidRPr="00F17798">
        <w:t xml:space="preserve"> timeframes as the </w:t>
      </w:r>
      <w:r w:rsidR="00A358AE">
        <w:t xml:space="preserve">tobacco plain packaging </w:t>
      </w:r>
      <w:r w:rsidR="00405377" w:rsidRPr="00F17798">
        <w:t>measure</w:t>
      </w:r>
      <w:r w:rsidR="00DE3EEB" w:rsidRPr="00F17798">
        <w:t xml:space="preserve">, it is likely that this has been a far more effective measure to discourage people from taking up smoking than </w:t>
      </w:r>
      <w:r w:rsidR="00405377" w:rsidRPr="00F17798">
        <w:t xml:space="preserve">tobacco </w:t>
      </w:r>
      <w:r w:rsidR="00DE3EEB" w:rsidRPr="00F17798">
        <w:t xml:space="preserve">plain packaging. </w:t>
      </w:r>
      <w:r w:rsidR="00656966" w:rsidRPr="00656966">
        <w:t xml:space="preserve">They did not cite any sources to support their view. </w:t>
      </w:r>
      <w:r w:rsidR="00A358AE">
        <w:t>Some stakeholders</w:t>
      </w:r>
      <w:r w:rsidR="00656223" w:rsidRPr="00F17798">
        <w:t xml:space="preserve"> from the tobacco </w:t>
      </w:r>
      <w:r w:rsidR="007807D9" w:rsidRPr="00F17798">
        <w:t>industry</w:t>
      </w:r>
      <w:r w:rsidR="00DE3EEB" w:rsidRPr="00F17798">
        <w:t xml:space="preserve"> note that</w:t>
      </w:r>
      <w:r w:rsidR="00D52DE4" w:rsidRPr="00F17798">
        <w:t xml:space="preserve"> the increasing availability of cheaper tobacco products</w:t>
      </w:r>
      <w:r w:rsidR="00DE3EEB" w:rsidRPr="00F17798">
        <w:t xml:space="preserve"> </w:t>
      </w:r>
      <w:r w:rsidR="00656223" w:rsidRPr="00F17798">
        <w:t>means</w:t>
      </w:r>
      <w:r w:rsidR="00DE3EEB" w:rsidRPr="00F17798">
        <w:t xml:space="preserve"> pe</w:t>
      </w:r>
      <w:r w:rsidR="00E231B4">
        <w:t>ople who originally would not have been</w:t>
      </w:r>
      <w:r w:rsidR="00DE3EEB" w:rsidRPr="00F17798">
        <w:t xml:space="preserve"> able to afford to start smoking (e.g. teenagers) can now afford tobacco products. </w:t>
      </w:r>
      <w:r w:rsidR="00656966" w:rsidRPr="00656966">
        <w:t>They did not cite any sources to support their view.</w:t>
      </w:r>
    </w:p>
    <w:p w:rsidR="00030B08" w:rsidRPr="00F17798" w:rsidRDefault="005900A9" w:rsidP="00EC02D0">
      <w:pPr>
        <w:pStyle w:val="Bullet"/>
        <w:numPr>
          <w:ilvl w:val="0"/>
          <w:numId w:val="0"/>
        </w:numPr>
      </w:pPr>
      <w:r w:rsidRPr="00F17798">
        <w:t>Further to this</w:t>
      </w:r>
      <w:r w:rsidR="00030B08" w:rsidRPr="00F17798">
        <w:t xml:space="preserve">, many consumers believe that education </w:t>
      </w:r>
      <w:r w:rsidR="0026520F" w:rsidRPr="00F17798">
        <w:t xml:space="preserve">(such as targeted education and campaigns about the health risks associated with smoking) is a more effective measure to discourage people (particularly young people) from taking up smoking. </w:t>
      </w:r>
      <w:proofErr w:type="gramStart"/>
      <w:r w:rsidR="0026520F" w:rsidRPr="00F17798">
        <w:t>Social factors (such as peer pressure amongst young people) was</w:t>
      </w:r>
      <w:proofErr w:type="gramEnd"/>
      <w:r w:rsidR="0026520F" w:rsidRPr="00F17798">
        <w:t xml:space="preserve"> also seen by </w:t>
      </w:r>
      <w:r w:rsidR="00A358AE">
        <w:t>consumers</w:t>
      </w:r>
      <w:r w:rsidR="0026520F" w:rsidRPr="00F17798">
        <w:t>, industry representatives</w:t>
      </w:r>
      <w:r w:rsidR="00604A67">
        <w:t>, ‘others’</w:t>
      </w:r>
      <w:r w:rsidR="0026520F" w:rsidRPr="00F17798">
        <w:t xml:space="preserve"> and public health stakeholders as a potential factor which could influence the uptake of smoking.</w:t>
      </w:r>
      <w:r w:rsidR="00656966" w:rsidRPr="00656966">
        <w:t xml:space="preserve"> They did not cite any sources to support their view.</w:t>
      </w:r>
    </w:p>
    <w:p w:rsidR="0026520F" w:rsidRDefault="00F8402D" w:rsidP="00F8402D">
      <w:r w:rsidRPr="00F17798">
        <w:t xml:space="preserve">The small number of consumers </w:t>
      </w:r>
      <w:r w:rsidR="00FF5AB6">
        <w:t xml:space="preserve">and retailers </w:t>
      </w:r>
      <w:r w:rsidRPr="00F17798">
        <w:t xml:space="preserve">who </w:t>
      </w:r>
      <w:r w:rsidR="00A358AE">
        <w:t>gave a positive rating</w:t>
      </w:r>
      <w:r w:rsidRPr="00F17798">
        <w:t xml:space="preserve"> reported that: </w:t>
      </w:r>
      <w:r w:rsidR="00480108" w:rsidRPr="00F17798">
        <w:t>the reduced ‘attractiveness’ of tobacco products and the more prominent health warnings (which increase awareness of the risks of smoking) may deter people from taking up smoking.</w:t>
      </w:r>
      <w:r w:rsidR="00F628FF">
        <w:t xml:space="preserve"> Some consumers also said they had experience </w:t>
      </w:r>
      <w:r w:rsidR="00E231B4">
        <w:t xml:space="preserve">of </w:t>
      </w:r>
      <w:r w:rsidR="00F628FF">
        <w:t>speaking with young people who have been deterred from smoking as a result of unattractive tobacco packaging</w:t>
      </w:r>
      <w:r w:rsidR="00A1460D">
        <w:t xml:space="preserve"> and increase awareness of the risks of smoking</w:t>
      </w:r>
      <w:r w:rsidR="00F628FF">
        <w:t xml:space="preserve">. </w:t>
      </w:r>
      <w:r w:rsidR="00656966">
        <w:t>These consumers</w:t>
      </w:r>
      <w:r w:rsidR="00656966" w:rsidRPr="00656966">
        <w:t xml:space="preserve"> did not cite any sources to support their view. </w:t>
      </w:r>
      <w:r w:rsidR="00480108" w:rsidRPr="00F17798">
        <w:t xml:space="preserve">The </w:t>
      </w:r>
      <w:r w:rsidR="00480108" w:rsidRPr="00F17798">
        <w:lastRenderedPageBreak/>
        <w:t xml:space="preserve">remaining consumers who </w:t>
      </w:r>
      <w:r w:rsidR="00A358AE">
        <w:t xml:space="preserve">provided a positive rating </w:t>
      </w:r>
      <w:r w:rsidR="00480108" w:rsidRPr="00F17798">
        <w:t xml:space="preserve">did not provide a </w:t>
      </w:r>
      <w:r w:rsidR="00405377" w:rsidRPr="00F17798">
        <w:t xml:space="preserve">qualitative </w:t>
      </w:r>
      <w:r w:rsidR="00480108" w:rsidRPr="00F17798">
        <w:t>response or did n</w:t>
      </w:r>
      <w:r w:rsidR="0060225B">
        <w:t>ot provide a relevant response.</w:t>
      </w:r>
    </w:p>
    <w:p w:rsidR="00E12EF4" w:rsidRDefault="00E12EF4" w:rsidP="00EC02D0">
      <w:pPr>
        <w:pStyle w:val="Bullet"/>
        <w:numPr>
          <w:ilvl w:val="0"/>
          <w:numId w:val="0"/>
        </w:numPr>
      </w:pPr>
      <w:r>
        <w:t>Public health organisatio</w:t>
      </w:r>
      <w:r w:rsidR="004D3FD8">
        <w:t xml:space="preserve">n </w:t>
      </w:r>
      <w:r w:rsidR="004D3FD8">
        <w:rPr>
          <w:szCs w:val="20"/>
        </w:rPr>
        <w:t>stakeholder/s</w:t>
      </w:r>
      <w:r w:rsidR="004D3FD8">
        <w:t xml:space="preserve">, government department </w:t>
      </w:r>
      <w:r w:rsidR="004D3FD8">
        <w:rPr>
          <w:szCs w:val="20"/>
        </w:rPr>
        <w:t>stakeholder/s</w:t>
      </w:r>
      <w:r w:rsidR="00270532">
        <w:t xml:space="preserve">, </w:t>
      </w:r>
      <w:r>
        <w:t>health related</w:t>
      </w:r>
      <w:r w:rsidR="004D3FD8">
        <w:t xml:space="preserve"> NGO </w:t>
      </w:r>
      <w:r w:rsidR="004D3FD8">
        <w:rPr>
          <w:szCs w:val="20"/>
        </w:rPr>
        <w:t>stakeholder/s</w:t>
      </w:r>
      <w:r w:rsidR="00270532">
        <w:t xml:space="preserve"> and ‘others’</w:t>
      </w:r>
      <w:r>
        <w:t xml:space="preserve"> </w:t>
      </w:r>
      <w:r w:rsidR="00EC3C45">
        <w:t>who g</w:t>
      </w:r>
      <w:r w:rsidR="00F93B1D">
        <w:t xml:space="preserve">ave a positive rating </w:t>
      </w:r>
      <w:r>
        <w:t xml:space="preserve">believe that because tobacco plain packaging </w:t>
      </w:r>
      <w:r w:rsidRPr="000366CC">
        <w:t>has facilitated ongoing debate about the harms of smoking and therefore</w:t>
      </w:r>
      <w:r>
        <w:t xml:space="preserve"> continues to keep the health risks associated </w:t>
      </w:r>
      <w:r w:rsidR="000C6F76">
        <w:t xml:space="preserve">with smoking at the forefront of people’s mind, this is likely to deter people from taking up smoking. </w:t>
      </w:r>
      <w:r w:rsidR="00656966">
        <w:t>These stakeholders</w:t>
      </w:r>
      <w:r w:rsidR="00656966" w:rsidRPr="00656966">
        <w:t xml:space="preserve"> did not cite any sources to support th</w:t>
      </w:r>
      <w:r w:rsidR="00656966">
        <w:t xml:space="preserve">is </w:t>
      </w:r>
      <w:r w:rsidR="00656966" w:rsidRPr="00656966">
        <w:t>view.</w:t>
      </w:r>
    </w:p>
    <w:p w:rsidR="00550CB0" w:rsidRPr="0017321D" w:rsidRDefault="007551C1" w:rsidP="005D2FA8">
      <w:r w:rsidRPr="0017321D">
        <w:t>Those retailers and consumers who were ‘unsure’ whethe</w:t>
      </w:r>
      <w:r w:rsidR="00265FD5" w:rsidRPr="0017321D">
        <w:t xml:space="preserve">r the measure </w:t>
      </w:r>
      <w:r w:rsidR="001A5924" w:rsidRPr="0017321D">
        <w:t xml:space="preserve">has </w:t>
      </w:r>
      <w:r w:rsidR="00265FD5" w:rsidRPr="0017321D">
        <w:t>had an impact</w:t>
      </w:r>
      <w:r w:rsidRPr="0017321D">
        <w:t xml:space="preserve"> said</w:t>
      </w:r>
      <w:r w:rsidR="00265FD5" w:rsidRPr="0017321D">
        <w:t>:</w:t>
      </w:r>
      <w:r w:rsidRPr="0017321D">
        <w:t xml:space="preserve"> they have not seen </w:t>
      </w:r>
      <w:r w:rsidR="00265FD5" w:rsidRPr="0017321D">
        <w:t xml:space="preserve">any </w:t>
      </w:r>
      <w:r w:rsidRPr="0017321D">
        <w:t>data which suggests that tobacco plain packaging has discouraged people from taking up smoking; that they don’t know any people who have been discouraged from taking up smoking as a result of tobacco plain packaging</w:t>
      </w:r>
      <w:r w:rsidR="00270532">
        <w:t xml:space="preserve"> and still see young people smoking</w:t>
      </w:r>
      <w:r w:rsidRPr="0017321D">
        <w:t xml:space="preserve">; that the measure </w:t>
      </w:r>
      <w:r w:rsidR="00A1460D">
        <w:t>may discourage uptake or in fact may encourage</w:t>
      </w:r>
      <w:r w:rsidRPr="0017321D">
        <w:t xml:space="preserve"> young people to take up smoking as a rebellious act; they did not provide a </w:t>
      </w:r>
      <w:r w:rsidR="00265FD5" w:rsidRPr="0017321D">
        <w:t xml:space="preserve">qualitative </w:t>
      </w:r>
      <w:r w:rsidRPr="0017321D">
        <w:t>response</w:t>
      </w:r>
      <w:r w:rsidR="0017321D" w:rsidRPr="0017321D">
        <w:t xml:space="preserve">; </w:t>
      </w:r>
      <w:r w:rsidR="00550CB0" w:rsidRPr="0017321D">
        <w:t xml:space="preserve">or provided a response which did not relate to the objective or that was </w:t>
      </w:r>
      <w:r w:rsidR="0017321D" w:rsidRPr="0017321D">
        <w:t xml:space="preserve">not </w:t>
      </w:r>
      <w:r w:rsidR="00550CB0" w:rsidRPr="0017321D">
        <w:t>relevant to any questions asked as part of the consultation process.</w:t>
      </w:r>
      <w:r w:rsidR="00550CB0" w:rsidRPr="00E62376">
        <w:t xml:space="preserve"> </w:t>
      </w:r>
      <w:r w:rsidR="00656966">
        <w:t>These stakeholders</w:t>
      </w:r>
      <w:r w:rsidR="00656966" w:rsidRPr="00656966">
        <w:t xml:space="preserve"> did not cite any sources to support their view.</w:t>
      </w:r>
    </w:p>
    <w:p w:rsidR="007056D4" w:rsidRPr="00C23FAF" w:rsidRDefault="00175D16" w:rsidP="00D06FF2">
      <w:pPr>
        <w:spacing w:before="60" w:after="60"/>
      </w:pPr>
      <w:r>
        <w:t>Table 14</w:t>
      </w:r>
      <w:r w:rsidR="007056D4" w:rsidRPr="00C23FAF">
        <w:t xml:space="preserve"> presents a sample of stakeholder views across groups in order to illustrate the diversity of view</w:t>
      </w:r>
      <w:r w:rsidR="0060225B">
        <w:t>s.</w:t>
      </w:r>
    </w:p>
    <w:p w:rsidR="007056D4" w:rsidRPr="00BC2BBC" w:rsidRDefault="00175D16" w:rsidP="00192E2B">
      <w:pPr>
        <w:pStyle w:val="TblHeading"/>
      </w:pPr>
      <w:proofErr w:type="gramStart"/>
      <w:r>
        <w:t>Table 14</w:t>
      </w:r>
      <w:r w:rsidR="007056D4" w:rsidRPr="00C23FAF">
        <w:t>.</w:t>
      </w:r>
      <w:proofErr w:type="gramEnd"/>
      <w:r w:rsidR="007056D4" w:rsidRPr="00C23FAF">
        <w:t xml:space="preserve"> </w:t>
      </w:r>
      <w:r w:rsidR="00843A11" w:rsidRPr="00C23FAF">
        <w:t>Examples</w:t>
      </w:r>
      <w:r w:rsidR="0060225B">
        <w:t xml:space="preserve"> of stakeholder views</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lang w:eastAsia="en-AU"/>
        </w:rPr>
      </w:pPr>
      <w:r w:rsidRPr="00093293">
        <w:rPr>
          <w:szCs w:val="22"/>
          <w:lang w:eastAsia="en-AU"/>
        </w:rPr>
        <w:t xml:space="preserve"> “I think that the studies show that, particularly among kids, the brand appeal is much, much lower; that’s got to have a flow-on effect [to uptake].”</w:t>
      </w:r>
      <w:r>
        <w:rPr>
          <w:szCs w:val="22"/>
          <w:lang w:eastAsia="en-AU"/>
        </w:rPr>
        <w:t xml:space="preserve"> </w:t>
      </w:r>
      <w:r>
        <w:rPr>
          <w:szCs w:val="20"/>
        </w:rPr>
        <w:t>(Public health organisation/expert)</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rPr>
      </w:pPr>
      <w:r w:rsidRPr="00093293">
        <w:rPr>
          <w:szCs w:val="22"/>
        </w:rPr>
        <w:t>“I think the evidence for that is a bit early to say… It’s really appeal at this stage and short-term. I don’t think you can say.”</w:t>
      </w:r>
      <w:r>
        <w:rPr>
          <w:szCs w:val="20"/>
        </w:rPr>
        <w:t xml:space="preserve"> (Public health organisation/expert)</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lang w:eastAsia="en-AU"/>
        </w:rPr>
      </w:pPr>
      <w:r w:rsidRPr="00093293">
        <w:rPr>
          <w:szCs w:val="22"/>
          <w:lang w:eastAsia="en-AU"/>
        </w:rPr>
        <w:t xml:space="preserve">“It definitely has an impact in discouraging youth from taking up smoking but there are definitely other things that impact on youth taking up smoking- things like peer pressures that tobacco plain packaging can’t have an impact on.  It has to be a part of tobacco control measure overall. It’s only one aspect.”  </w:t>
      </w:r>
      <w:r>
        <w:rPr>
          <w:szCs w:val="20"/>
        </w:rPr>
        <w:t>(Public health organisation/expert)</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rPr>
      </w:pPr>
      <w:r w:rsidRPr="00093293">
        <w:rPr>
          <w:szCs w:val="22"/>
        </w:rPr>
        <w:t>“I just had a look at the recent data for smoking rates including that of young people and certainly the rates are coming down in a positive way so, we can’t attribute exactly to what percentage of the fall in smoking rates is due to tobacco plain packaging but you would expect that it [plain packaging] was a significant contributor… we have had prices change as well so that is certainly a contributor too…</w:t>
      </w:r>
      <w:proofErr w:type="gramStart"/>
      <w:r w:rsidRPr="00093293">
        <w:rPr>
          <w:szCs w:val="22"/>
        </w:rPr>
        <w:t>”</w:t>
      </w:r>
      <w:r>
        <w:rPr>
          <w:szCs w:val="20"/>
        </w:rPr>
        <w:t>(</w:t>
      </w:r>
      <w:proofErr w:type="gramEnd"/>
      <w:r>
        <w:rPr>
          <w:szCs w:val="20"/>
        </w:rPr>
        <w:t>Public health organisation/expert)</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rPr>
      </w:pPr>
      <w:r w:rsidRPr="00093293">
        <w:rPr>
          <w:szCs w:val="22"/>
        </w:rPr>
        <w:t>“The tobacco industry aim in this debate is to assume that tobacco plain packaging is a proximal variable of which one could ask…’well one month after implementation how many people have quit smoking, or how many people have not taken up smoking’ so they are asking in the same way that a pharmaceutical manufacture would have evidence about how many peoples pain reduced after taking a certain tablet etc. – they are doing this on purpose as they understand that the phenomenon of not taking up smoking and quitting is not a sudden thing. It’s something that takes time… its cumulative and synergistic… it all works together.”</w:t>
      </w:r>
      <w:r>
        <w:rPr>
          <w:szCs w:val="20"/>
        </w:rPr>
        <w:t xml:space="preserve"> (Public health organisation/expert)</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rPr>
      </w:pPr>
      <w:r w:rsidRPr="00093293">
        <w:rPr>
          <w:szCs w:val="22"/>
        </w:rPr>
        <w:t xml:space="preserve"> “It adds to the total contribution of de-normalising tobacco but we know that the price is the most effective and campaigns and advertisements is the second most effective. Tobacco plain packaging is down the line. It adds to the total comprehensive strategy.”</w:t>
      </w:r>
      <w:r>
        <w:rPr>
          <w:szCs w:val="22"/>
        </w:rPr>
        <w:t>(Government department stakeholder)</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rPr>
      </w:pPr>
      <w:r w:rsidRPr="00093293">
        <w:rPr>
          <w:szCs w:val="22"/>
        </w:rPr>
        <w:t xml:space="preserve"> “I think the evidence is quite unclear – perhaps it’s too early or difficult to isolate the factors or contribution…..It is… really was my understanding that this the main objective of tobacco plain packaging [the effect of tobacco plain packaging on new smokers]. They did not expect that it would have a huge impact on current smokers, but the impact would be on the uptake of young smokers.”</w:t>
      </w:r>
      <w:r>
        <w:rPr>
          <w:szCs w:val="22"/>
        </w:rPr>
        <w:t>(Health related NGO)</w:t>
      </w:r>
    </w:p>
    <w:p w:rsidR="006C3771" w:rsidRPr="00093293" w:rsidRDefault="006C3771" w:rsidP="006C3771">
      <w:pPr>
        <w:pStyle w:val="BulletPoints"/>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i/>
          <w:sz w:val="22"/>
          <w:szCs w:val="22"/>
        </w:rPr>
      </w:pPr>
      <w:r w:rsidRPr="00093293">
        <w:rPr>
          <w:i/>
          <w:sz w:val="22"/>
          <w:szCs w:val="22"/>
        </w:rPr>
        <w:t xml:space="preserve"> “</w:t>
      </w:r>
      <w:proofErr w:type="gramStart"/>
      <w:r w:rsidRPr="00093293">
        <w:rPr>
          <w:i/>
          <w:sz w:val="22"/>
          <w:szCs w:val="22"/>
        </w:rPr>
        <w:t>certainly</w:t>
      </w:r>
      <w:proofErr w:type="gramEnd"/>
      <w:r w:rsidRPr="00093293">
        <w:rPr>
          <w:i/>
          <w:sz w:val="22"/>
          <w:szCs w:val="22"/>
        </w:rPr>
        <w:t xml:space="preserve"> it hasn’t deterred current users and you know… the youth of today, it’s a generational thing it takes a while for things to kick in, take a while for things to change over time.”</w:t>
      </w:r>
      <w:r>
        <w:rPr>
          <w:i/>
          <w:sz w:val="22"/>
          <w:szCs w:val="22"/>
        </w:rPr>
        <w:t xml:space="preserve"> (Retailer)</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rPr>
      </w:pPr>
      <w:r w:rsidRPr="00093293">
        <w:rPr>
          <w:szCs w:val="22"/>
        </w:rPr>
        <w:lastRenderedPageBreak/>
        <w:t>“My weekly cigarette orders have increased not decreased.”</w:t>
      </w:r>
      <w:r>
        <w:t xml:space="preserve"> </w:t>
      </w:r>
      <w:r w:rsidRPr="00BE44BF">
        <w:rPr>
          <w:szCs w:val="22"/>
        </w:rPr>
        <w:t>(Retailer)</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rPr>
      </w:pPr>
      <w:r w:rsidRPr="00093293">
        <w:rPr>
          <w:szCs w:val="22"/>
        </w:rPr>
        <w:t>“The experience from our members is that their sales, even though it is more inconvenient and costly for them to execute a transaction, is that their sale volumes have not dipped at all so it has not been effective. We thought the sales would drop. But they have not dropped.</w:t>
      </w:r>
      <w:r>
        <w:rPr>
          <w:szCs w:val="22"/>
        </w:rPr>
        <w:t xml:space="preserve">” </w:t>
      </w:r>
      <w:r w:rsidRPr="00BE44BF">
        <w:rPr>
          <w:szCs w:val="22"/>
        </w:rPr>
        <w:t>(Retailer)</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rPr>
      </w:pPr>
      <w:r w:rsidRPr="00093293">
        <w:rPr>
          <w:szCs w:val="22"/>
        </w:rPr>
        <w:t xml:space="preserve">“Taking up smoking is not driven by the packaging, other factors such as peer group </w:t>
      </w:r>
      <w:proofErr w:type="gramStart"/>
      <w:r w:rsidRPr="00093293">
        <w:rPr>
          <w:szCs w:val="22"/>
        </w:rPr>
        <w:t>pressure,</w:t>
      </w:r>
      <w:proofErr w:type="gramEnd"/>
      <w:r w:rsidRPr="00093293">
        <w:rPr>
          <w:szCs w:val="22"/>
        </w:rPr>
        <w:t xml:space="preserve"> high profile public figures who smoke (e.g. actors, characters in movies) lead people to taking up smoking, not the packet</w:t>
      </w:r>
      <w:r>
        <w:rPr>
          <w:szCs w:val="22"/>
        </w:rPr>
        <w:t>.</w:t>
      </w:r>
      <w:r w:rsidRPr="00093293">
        <w:rPr>
          <w:szCs w:val="22"/>
        </w:rPr>
        <w:t>”</w:t>
      </w:r>
      <w:r>
        <w:t xml:space="preserve"> </w:t>
      </w:r>
      <w:r w:rsidRPr="00BE44BF">
        <w:rPr>
          <w:szCs w:val="22"/>
        </w:rPr>
        <w:t>(Retailer)</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rPr>
      </w:pPr>
      <w:r w:rsidRPr="00093293">
        <w:rPr>
          <w:szCs w:val="22"/>
        </w:rPr>
        <w:t>“By the time the user has got to the point of acquiring a packet they have already decided to be a smoker or try smoking.  The packaging is not where the focus point needs to be.  If discouragement is the aim then it needs to be at the advertising point, not at the end product.”</w:t>
      </w:r>
      <w:r>
        <w:t xml:space="preserve"> </w:t>
      </w:r>
      <w:r w:rsidRPr="00BE44BF">
        <w:rPr>
          <w:szCs w:val="22"/>
        </w:rPr>
        <w:t>(Retailer)</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highlight w:val="yellow"/>
        </w:rPr>
      </w:pPr>
      <w:r w:rsidRPr="00093293">
        <w:rPr>
          <w:szCs w:val="22"/>
        </w:rPr>
        <w:t>“</w:t>
      </w:r>
      <w:proofErr w:type="gramStart"/>
      <w:r w:rsidRPr="00093293">
        <w:rPr>
          <w:szCs w:val="22"/>
        </w:rPr>
        <w:t>no</w:t>
      </w:r>
      <w:proofErr w:type="gramEnd"/>
      <w:r w:rsidRPr="00093293">
        <w:rPr>
          <w:szCs w:val="22"/>
        </w:rPr>
        <w:t xml:space="preserve"> one starts smoking because a packet looks cool new 18 year olds are still starting”</w:t>
      </w:r>
      <w:r>
        <w:t xml:space="preserve"> </w:t>
      </w:r>
      <w:r w:rsidRPr="00BE44BF">
        <w:rPr>
          <w:szCs w:val="22"/>
        </w:rPr>
        <w:t>(Retailer)</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rPr>
      </w:pPr>
      <w:r w:rsidRPr="00093293">
        <w:rPr>
          <w:szCs w:val="22"/>
        </w:rPr>
        <w:t xml:space="preserve">“If they haven't started smoking it may deter them. But if they are already smokers the packaging doesn't </w:t>
      </w:r>
      <w:proofErr w:type="spellStart"/>
      <w:r w:rsidRPr="00093293">
        <w:rPr>
          <w:szCs w:val="22"/>
        </w:rPr>
        <w:t>phase</w:t>
      </w:r>
      <w:proofErr w:type="spellEnd"/>
      <w:r w:rsidRPr="00093293">
        <w:rPr>
          <w:szCs w:val="22"/>
        </w:rPr>
        <w:t xml:space="preserve"> them”</w:t>
      </w:r>
      <w:r>
        <w:t xml:space="preserve"> </w:t>
      </w:r>
      <w:r w:rsidRPr="00BE44BF">
        <w:rPr>
          <w:szCs w:val="22"/>
        </w:rPr>
        <w:t>(Retailer)</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rPr>
      </w:pPr>
      <w:proofErr w:type="gramStart"/>
      <w:r w:rsidRPr="00093293">
        <w:rPr>
          <w:szCs w:val="22"/>
        </w:rPr>
        <w:t>“The most success here.</w:t>
      </w:r>
      <w:proofErr w:type="gramEnd"/>
      <w:r w:rsidRPr="00093293">
        <w:rPr>
          <w:szCs w:val="22"/>
        </w:rPr>
        <w:t xml:space="preserve"> Glamour has gone out of the packaging. </w:t>
      </w:r>
      <w:proofErr w:type="gramStart"/>
      <w:r w:rsidRPr="00093293">
        <w:rPr>
          <w:szCs w:val="22"/>
        </w:rPr>
        <w:t>Very hard for a particular group (of people) to identify with a particular type of cigarettes without the branding.</w:t>
      </w:r>
      <w:proofErr w:type="gramEnd"/>
      <w:r w:rsidRPr="00093293">
        <w:rPr>
          <w:szCs w:val="22"/>
        </w:rPr>
        <w:t xml:space="preserve"> The legislation has been most effective with regards to Q10.” </w:t>
      </w:r>
      <w:r>
        <w:rPr>
          <w:szCs w:val="22"/>
        </w:rPr>
        <w:t>(Tobacco wholesaler and importer)</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rPr>
      </w:pPr>
      <w:r w:rsidRPr="00093293">
        <w:rPr>
          <w:szCs w:val="22"/>
        </w:rPr>
        <w:t xml:space="preserve"> “The packaging itself had nothing to do with enticing people to smoke</w:t>
      </w:r>
      <w:proofErr w:type="gramStart"/>
      <w:r w:rsidRPr="00093293">
        <w:rPr>
          <w:szCs w:val="22"/>
        </w:rPr>
        <w:t>..”</w:t>
      </w:r>
      <w:proofErr w:type="gramEnd"/>
      <w:r>
        <w:rPr>
          <w:szCs w:val="22"/>
        </w:rPr>
        <w:t xml:space="preserve"> (Consumer)</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rPr>
      </w:pPr>
      <w:r w:rsidRPr="00093293">
        <w:rPr>
          <w:szCs w:val="22"/>
        </w:rPr>
        <w:t xml:space="preserve"> “It's possible that it could discourage people from smoking, but it's also possible it could encourage people to move to a cheaper brand as there is no brand awareness and therefore no loyalty.”</w:t>
      </w:r>
      <w:r>
        <w:rPr>
          <w:szCs w:val="22"/>
        </w:rPr>
        <w:t xml:space="preserve"> (Consumer)</w:t>
      </w:r>
    </w:p>
    <w:p w:rsidR="006C3771" w:rsidRPr="00093293" w:rsidRDefault="006C3771" w:rsidP="006C3771">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20" w:after="20"/>
        <w:rPr>
          <w:szCs w:val="22"/>
        </w:rPr>
      </w:pPr>
      <w:r w:rsidRPr="00093293">
        <w:rPr>
          <w:szCs w:val="22"/>
        </w:rPr>
        <w:t xml:space="preserve"> “Maybe it has discouraged people from taking up. </w:t>
      </w:r>
      <w:proofErr w:type="gramStart"/>
      <w:r w:rsidRPr="00093293">
        <w:rPr>
          <w:szCs w:val="22"/>
        </w:rPr>
        <w:t>Little effect on existing smokers though.”</w:t>
      </w:r>
      <w:proofErr w:type="gramEnd"/>
      <w:r>
        <w:rPr>
          <w:szCs w:val="22"/>
        </w:rPr>
        <w:t xml:space="preserve"> (Consumer)</w:t>
      </w:r>
    </w:p>
    <w:p w:rsidR="00115444" w:rsidRPr="00B57BD8" w:rsidRDefault="00886071" w:rsidP="00493DCB">
      <w:pPr>
        <w:pStyle w:val="Heading3"/>
      </w:pPr>
      <w:r>
        <w:br w:type="page"/>
      </w:r>
      <w:bookmarkStart w:id="105" w:name="_Toc418770502"/>
      <w:bookmarkStart w:id="106" w:name="_Toc419889580"/>
      <w:bookmarkStart w:id="107" w:name="_Toc422478387"/>
      <w:bookmarkStart w:id="108" w:name="_Toc426122321"/>
      <w:bookmarkStart w:id="109" w:name="_Toc427306698"/>
      <w:r w:rsidR="009C2B00" w:rsidRPr="00B57BD8">
        <w:lastRenderedPageBreak/>
        <w:t>Encouraging people to give up smoking and to stop using tobacco</w:t>
      </w:r>
      <w:r w:rsidR="00104207" w:rsidRPr="00B57BD8">
        <w:t xml:space="preserve"> products</w:t>
      </w:r>
      <w:bookmarkEnd w:id="105"/>
      <w:bookmarkEnd w:id="106"/>
      <w:r w:rsidR="00852229">
        <w:t xml:space="preserve"> </w:t>
      </w:r>
      <w:r w:rsidR="00A628B1" w:rsidRPr="003A5453">
        <w:t>(s</w:t>
      </w:r>
      <w:r w:rsidR="00B21859" w:rsidRPr="003A5453">
        <w:t xml:space="preserve">ection </w:t>
      </w:r>
      <w:r w:rsidR="00852229" w:rsidRPr="003A5453">
        <w:t>(3</w:t>
      </w:r>
      <w:proofErr w:type="gramStart"/>
      <w:r w:rsidR="00852229" w:rsidRPr="003A5453">
        <w:t>)(</w:t>
      </w:r>
      <w:proofErr w:type="gramEnd"/>
      <w:r w:rsidR="00852229" w:rsidRPr="003A5453">
        <w:t>1)(a)(ii)</w:t>
      </w:r>
      <w:r w:rsidR="00A628B1" w:rsidRPr="003A5453">
        <w:t xml:space="preserve"> of the TPP Act)</w:t>
      </w:r>
      <w:bookmarkEnd w:id="107"/>
      <w:bookmarkEnd w:id="108"/>
      <w:bookmarkEnd w:id="109"/>
    </w:p>
    <w:p w:rsidR="00420222" w:rsidRDefault="00BF6EDB" w:rsidP="00050E6B">
      <w:r>
        <w:t>Stakeholders</w:t>
      </w:r>
      <w:r w:rsidR="008A4A6B" w:rsidRPr="008D52FA">
        <w:t xml:space="preserve"> were asked to </w:t>
      </w:r>
      <w:r w:rsidR="008A4A6B" w:rsidRPr="008A4A6B">
        <w:t>provide ratings and qualitative</w:t>
      </w:r>
      <w:r w:rsidR="008A4A6B">
        <w:t xml:space="preserve"> </w:t>
      </w:r>
      <w:r w:rsidR="00271FDC" w:rsidRPr="008D52FA">
        <w:t>comment on the extent to which they thought that the tobacco</w:t>
      </w:r>
      <w:r w:rsidR="00416DF1">
        <w:t xml:space="preserve"> plain packaging </w:t>
      </w:r>
      <w:r w:rsidR="00271FDC" w:rsidRPr="008D52FA">
        <w:t xml:space="preserve">measure, </w:t>
      </w:r>
      <w:r w:rsidR="00271FDC">
        <w:t>as part of</w:t>
      </w:r>
      <w:r w:rsidR="00D62B34">
        <w:t xml:space="preserve"> a</w:t>
      </w:r>
      <w:r w:rsidR="00271FDC">
        <w:t xml:space="preserve"> broader effort, has encouraged people to give up smoking and to stop using tobacco products</w:t>
      </w:r>
      <w:r w:rsidR="00271FDC" w:rsidRPr="008A6282">
        <w:t>.</w:t>
      </w:r>
      <w:r w:rsidR="00050E6B">
        <w:t xml:space="preserve"> The limit</w:t>
      </w:r>
      <w:r w:rsidR="005A7B6A">
        <w:t>ations of this data are</w:t>
      </w:r>
      <w:r w:rsidR="00050E6B">
        <w:t xml:space="preserve"> discussed </w:t>
      </w:r>
      <w:r w:rsidR="00951DE1">
        <w:t>at Section 1.3 of this report.</w:t>
      </w:r>
    </w:p>
    <w:p w:rsidR="00EA2E13" w:rsidRPr="0044799A" w:rsidRDefault="00EA2E13" w:rsidP="00EA2E13">
      <w:pPr>
        <w:pStyle w:val="Heading4"/>
      </w:pPr>
      <w:r w:rsidRPr="0044799A">
        <w:t>Quantitative ratings</w:t>
      </w:r>
    </w:p>
    <w:p w:rsidR="00175D16" w:rsidRPr="00352E39" w:rsidRDefault="00175D16" w:rsidP="00892EB6">
      <w:r w:rsidRPr="00352E39">
        <w:t>T</w:t>
      </w:r>
      <w:r>
        <w:t>able 15</w:t>
      </w:r>
      <w:r w:rsidRPr="00352E39">
        <w:t xml:space="preserve"> presents </w:t>
      </w:r>
      <w:r w:rsidRPr="00D46A69">
        <w:t>posit</w:t>
      </w:r>
      <w:r>
        <w:t xml:space="preserve">ive, negative and unsure </w:t>
      </w:r>
      <w:r w:rsidRPr="00352E39">
        <w:t>ratings</w:t>
      </w:r>
      <w:r>
        <w:t xml:space="preserve"> (and no response)</w:t>
      </w:r>
      <w:r w:rsidRPr="00352E39">
        <w:t xml:space="preserve"> by stakeholder </w:t>
      </w:r>
      <w:r w:rsidRPr="005A034D">
        <w:t xml:space="preserve">category </w:t>
      </w:r>
      <w:r w:rsidRPr="005A034D">
        <w:rPr>
          <w:rFonts w:cs="Times New Roman"/>
          <w:bCs/>
        </w:rPr>
        <w:t>for those stakeholders who participated in the consultation process using the consultation protocol only</w:t>
      </w:r>
      <w:r w:rsidRPr="005A034D">
        <w:t>.</w:t>
      </w:r>
      <w:r w:rsidRPr="00352E39">
        <w:t xml:space="preserve"> This allows the reader to identify the stakeholder groups who gave each type of rating and the distribution of rat</w:t>
      </w:r>
      <w:r w:rsidR="0060225B">
        <w:t>ings across stakeholder groups.</w:t>
      </w:r>
    </w:p>
    <w:p w:rsidR="00175D16" w:rsidRPr="00E12A7B" w:rsidRDefault="00175D16" w:rsidP="00192E2B">
      <w:pPr>
        <w:pStyle w:val="TblHeading"/>
      </w:pPr>
      <w:proofErr w:type="gramStart"/>
      <w:r>
        <w:t>Table 15</w:t>
      </w:r>
      <w:r w:rsidRPr="00E12A7B">
        <w:t>.</w:t>
      </w:r>
      <w:proofErr w:type="gramEnd"/>
      <w:r w:rsidRPr="00E12A7B">
        <w:t xml:space="preserve"> </w:t>
      </w:r>
      <w:r w:rsidR="00031D1D" w:rsidRPr="00E12A7B">
        <w:t xml:space="preserve">Frequency of types of quantitative ratings </w:t>
      </w:r>
      <w:r w:rsidR="00031D1D">
        <w:t>by stakeholders regarding whether the</w:t>
      </w:r>
      <w:r w:rsidR="00031D1D" w:rsidRPr="008D52FA">
        <w:t xml:space="preserve"> tobacco</w:t>
      </w:r>
      <w:r w:rsidR="00031D1D">
        <w:t xml:space="preserve"> plain packaging </w:t>
      </w:r>
      <w:r w:rsidR="00031D1D" w:rsidRPr="008D52FA">
        <w:t>measure</w:t>
      </w:r>
      <w:r w:rsidR="00031D1D">
        <w:t xml:space="preserve"> has encouraged people to give up smoking and to stop using tobacco products, </w:t>
      </w:r>
      <w:r w:rsidRPr="00E12A7B">
        <w:t xml:space="preserve">grouped by stakeholder category (for those stakeholders who participated in the consultation process using the consultation protocol </w:t>
      </w:r>
      <w:r>
        <w:t>only</w:t>
      </w:r>
      <w:r w:rsidR="00031D1D">
        <w:t>)</w:t>
      </w:r>
    </w:p>
    <w:tbl>
      <w:tblPr>
        <w:tblW w:w="4831" w:type="pct"/>
        <w:tblInd w:w="108" w:type="dxa"/>
        <w:tblLayout w:type="fixed"/>
        <w:tblCellMar>
          <w:left w:w="0" w:type="dxa"/>
          <w:right w:w="0" w:type="dxa"/>
        </w:tblCellMar>
        <w:tblLook w:val="04A0" w:firstRow="1" w:lastRow="0" w:firstColumn="1" w:lastColumn="0" w:noHBand="0" w:noVBand="1"/>
        <w:tblDescription w:val="For the various stakeholder groups, table 15 shows the frequency of stakeholder quantitative ratings for whether the measure has encouraged people to give up smoking and to stop using tobacco products.  It has five columns.  Read across for stakeholder group, positive result (to a great extent or somewhat), negative result (not at all or very little), unsure, and no response provided.  Data is presented in the format n/m where n is the number of stakeholders giving the particular rating and m is the total number of stakeholders in the relevant stakeholder group.  Those stakeholders who did not provide a quantitative rating have been included in the denominator as some did go on to provide qualitative responses."/>
      </w:tblPr>
      <w:tblGrid>
        <w:gridCol w:w="2269"/>
        <w:gridCol w:w="1843"/>
        <w:gridCol w:w="1559"/>
        <w:gridCol w:w="1559"/>
        <w:gridCol w:w="1700"/>
      </w:tblGrid>
      <w:tr w:rsidR="000D6B1F" w:rsidRPr="00FE7970" w:rsidTr="00576EDC">
        <w:trPr>
          <w:trHeight w:val="704"/>
          <w:tblHeader/>
        </w:trPr>
        <w:tc>
          <w:tcPr>
            <w:tcW w:w="1270" w:type="pct"/>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hideMark/>
          </w:tcPr>
          <w:p w:rsidR="000D6B1F" w:rsidRPr="00FE7970" w:rsidRDefault="000D6B1F" w:rsidP="008A4A6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Stakeholder group</w:t>
            </w:r>
          </w:p>
        </w:tc>
        <w:tc>
          <w:tcPr>
            <w:tcW w:w="103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0D6B1F" w:rsidRPr="00FE7970" w:rsidRDefault="000D6B1F" w:rsidP="00E3391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Positive result (to a great extent/ somewhat)</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0D6B1F" w:rsidRPr="00FE7970" w:rsidRDefault="000D6B1F" w:rsidP="00E3391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Negative result (not at all/ very little) </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0D6B1F" w:rsidRPr="00FE7970" w:rsidRDefault="000D6B1F" w:rsidP="008A4A6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Unsure </w:t>
            </w:r>
          </w:p>
        </w:tc>
        <w:tc>
          <w:tcPr>
            <w:tcW w:w="95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0D6B1F" w:rsidRPr="00FE7970" w:rsidRDefault="000D6B1F" w:rsidP="008A4A6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No Response Provided</w:t>
            </w:r>
            <w:r w:rsidRPr="00FE7970">
              <w:rPr>
                <w:rStyle w:val="FootnoteReference"/>
                <w:rFonts w:cs="Times New Roman"/>
                <w:b/>
                <w:color w:val="000000"/>
                <w:sz w:val="18"/>
                <w:szCs w:val="18"/>
                <w:lang w:eastAsia="en-AU"/>
              </w:rPr>
              <w:footnoteReference w:customMarkFollows="1" w:id="15"/>
              <w:t>[1]</w:t>
            </w:r>
          </w:p>
        </w:tc>
      </w:tr>
      <w:tr w:rsidR="00BA2477" w:rsidRPr="00FE7970" w:rsidTr="007C79C2">
        <w:trPr>
          <w:trHeight w:val="572"/>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A2477" w:rsidRPr="00FE7970" w:rsidRDefault="00BA2477" w:rsidP="00BA2477">
            <w:pPr>
              <w:spacing w:before="0" w:after="0"/>
              <w:rPr>
                <w:rFonts w:cs="Times New Roman"/>
                <w:color w:val="000000"/>
                <w:sz w:val="18"/>
                <w:szCs w:val="18"/>
                <w:lang w:eastAsia="en-AU"/>
              </w:rPr>
            </w:pPr>
            <w:r w:rsidRPr="00FE7970">
              <w:rPr>
                <w:rFonts w:cs="Times New Roman"/>
                <w:color w:val="000000"/>
                <w:sz w:val="18"/>
                <w:szCs w:val="18"/>
                <w:lang w:eastAsia="en-AU"/>
              </w:rPr>
              <w:t>Public Health Organisations/Experts</w:t>
            </w:r>
          </w:p>
          <w:p w:rsidR="00BA2477" w:rsidRPr="00FE7970" w:rsidRDefault="00BA2477" w:rsidP="00BA2477">
            <w:pPr>
              <w:spacing w:before="0" w:after="0"/>
              <w:rPr>
                <w:rFonts w:cs="Times New Roman"/>
                <w:color w:val="000000"/>
                <w:sz w:val="18"/>
                <w:szCs w:val="18"/>
                <w:lang w:eastAsia="en-AU"/>
              </w:rPr>
            </w:pPr>
            <w:r w:rsidRPr="00FE7970">
              <w:rPr>
                <w:rFonts w:cs="Times New Roman"/>
                <w:color w:val="000000"/>
                <w:sz w:val="18"/>
                <w:szCs w:val="18"/>
                <w:lang w:eastAsia="en-AU"/>
              </w:rPr>
              <w:t>(n=</w:t>
            </w:r>
            <w:r w:rsidR="004B7A40">
              <w:rPr>
                <w:rFonts w:cs="Times New Roman"/>
                <w:color w:val="000000"/>
                <w:sz w:val="18"/>
                <w:szCs w:val="18"/>
                <w:lang w:eastAsia="en-AU"/>
              </w:rPr>
              <w:t>20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15/</w:t>
            </w:r>
            <w:r w:rsidR="004B7A40">
              <w:rPr>
                <w:rFonts w:cs="Times New Roman"/>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4B7A40" w:rsidP="00BA2477">
            <w:pPr>
              <w:spacing w:after="0"/>
              <w:jc w:val="center"/>
              <w:rPr>
                <w:rFonts w:cs="Times New Roman"/>
                <w:color w:val="000000"/>
                <w:sz w:val="18"/>
                <w:szCs w:val="18"/>
                <w:lang w:eastAsia="en-AU"/>
              </w:rPr>
            </w:pPr>
            <w:r>
              <w:rPr>
                <w:rFonts w:cs="Times New Roman"/>
                <w:color w:val="000000"/>
                <w:sz w:val="18"/>
                <w:szCs w:val="18"/>
                <w:lang w:eastAsia="en-AU"/>
              </w:rPr>
              <w:t>0</w:t>
            </w:r>
            <w:r w:rsidR="00BA2477">
              <w:rPr>
                <w:rFonts w:cs="Times New Roman"/>
                <w:color w:val="000000"/>
                <w:sz w:val="18"/>
                <w:szCs w:val="18"/>
                <w:lang w:eastAsia="en-AU"/>
              </w:rPr>
              <w:t>/</w:t>
            </w:r>
            <w:r>
              <w:rPr>
                <w:rFonts w:cs="Times New Roman"/>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1/</w:t>
            </w:r>
            <w:r w:rsidR="004B7A40">
              <w:rPr>
                <w:rFonts w:cs="Times New Roman"/>
                <w:color w:val="000000"/>
                <w:sz w:val="18"/>
                <w:szCs w:val="18"/>
                <w:lang w:eastAsia="en-AU"/>
              </w:rPr>
              <w:t>20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4/</w:t>
            </w:r>
            <w:r w:rsidR="004B7A40">
              <w:rPr>
                <w:rFonts w:cs="Times New Roman"/>
                <w:color w:val="000000"/>
                <w:sz w:val="18"/>
                <w:szCs w:val="18"/>
                <w:lang w:eastAsia="en-AU"/>
              </w:rPr>
              <w:t>20</w:t>
            </w:r>
          </w:p>
        </w:tc>
      </w:tr>
      <w:tr w:rsidR="00BA2477"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A2477" w:rsidRPr="00FE7970" w:rsidRDefault="00BA2477" w:rsidP="00BA2477">
            <w:pPr>
              <w:spacing w:before="0" w:after="0"/>
              <w:rPr>
                <w:rFonts w:cs="Times New Roman"/>
                <w:color w:val="000000"/>
                <w:sz w:val="18"/>
                <w:szCs w:val="18"/>
                <w:lang w:eastAsia="en-AU"/>
              </w:rPr>
            </w:pPr>
            <w:r w:rsidRPr="00FE7970">
              <w:rPr>
                <w:rFonts w:cs="Times New Roman"/>
                <w:color w:val="000000"/>
                <w:sz w:val="18"/>
                <w:szCs w:val="18"/>
                <w:lang w:eastAsia="en-AU"/>
              </w:rPr>
              <w:t>Government Departments</w:t>
            </w:r>
          </w:p>
          <w:p w:rsidR="00BA2477" w:rsidRPr="00FE7970" w:rsidRDefault="00BA2477" w:rsidP="00BA2477">
            <w:pPr>
              <w:spacing w:before="0" w:after="0"/>
              <w:rPr>
                <w:rFonts w:cs="Times New Roman"/>
                <w:color w:val="000000"/>
                <w:sz w:val="18"/>
                <w:szCs w:val="18"/>
                <w:lang w:eastAsia="en-AU"/>
              </w:rPr>
            </w:pPr>
            <w:r w:rsidRPr="00FE7970">
              <w:rPr>
                <w:rFonts w:cs="Times New Roman"/>
                <w:color w:val="000000"/>
                <w:sz w:val="18"/>
                <w:szCs w:val="18"/>
                <w:lang w:eastAsia="en-AU"/>
              </w:rPr>
              <w:t>(</w:t>
            </w:r>
            <w:r>
              <w:rPr>
                <w:rFonts w:cs="Times New Roman"/>
                <w:color w:val="000000"/>
                <w:sz w:val="18"/>
                <w:szCs w:val="18"/>
                <w:lang w:eastAsia="en-AU"/>
              </w:rPr>
              <w:t>n=8</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8/8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0</w:t>
            </w:r>
            <w:r w:rsidR="006F06AD">
              <w:rPr>
                <w:rFonts w:cs="Times New Roman"/>
                <w:color w:val="000000"/>
                <w:sz w:val="18"/>
                <w:szCs w:val="18"/>
                <w:lang w:eastAsia="en-AU"/>
              </w:rPr>
              <w:t>/8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0</w:t>
            </w:r>
            <w:r w:rsidR="006F06AD">
              <w:rPr>
                <w:rFonts w:cs="Times New Roman"/>
                <w:color w:val="000000"/>
                <w:sz w:val="18"/>
                <w:szCs w:val="18"/>
                <w:lang w:eastAsia="en-AU"/>
              </w:rPr>
              <w:t>/8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0</w:t>
            </w:r>
            <w:r w:rsidR="006F06AD">
              <w:rPr>
                <w:rFonts w:cs="Times New Roman"/>
                <w:color w:val="000000"/>
                <w:sz w:val="18"/>
                <w:szCs w:val="18"/>
                <w:lang w:eastAsia="en-AU"/>
              </w:rPr>
              <w:t>/8</w:t>
            </w:r>
          </w:p>
        </w:tc>
      </w:tr>
      <w:tr w:rsidR="00BA2477" w:rsidRPr="00FE7970" w:rsidTr="007C79C2">
        <w:trPr>
          <w:trHeight w:val="485"/>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A2477" w:rsidRPr="00FE7970" w:rsidRDefault="00BA2477" w:rsidP="00BA2477">
            <w:pPr>
              <w:spacing w:before="0" w:after="0"/>
              <w:rPr>
                <w:rFonts w:cs="Times New Roman"/>
                <w:color w:val="000000"/>
                <w:sz w:val="18"/>
                <w:szCs w:val="18"/>
                <w:lang w:eastAsia="en-AU"/>
              </w:rPr>
            </w:pPr>
            <w:r w:rsidRPr="00FE7970">
              <w:rPr>
                <w:rFonts w:cs="Times New Roman"/>
                <w:color w:val="000000"/>
                <w:sz w:val="18"/>
                <w:szCs w:val="18"/>
                <w:lang w:eastAsia="en-AU"/>
              </w:rPr>
              <w:t>Non-Government Organisations</w:t>
            </w:r>
          </w:p>
          <w:p w:rsidR="00BA2477" w:rsidRPr="00FE7970" w:rsidRDefault="00BA2477" w:rsidP="00BA2477">
            <w:pPr>
              <w:spacing w:before="0" w:after="0"/>
              <w:rPr>
                <w:rFonts w:cs="Times New Roman"/>
                <w:color w:val="000000"/>
                <w:sz w:val="18"/>
                <w:szCs w:val="18"/>
                <w:lang w:eastAsia="en-AU"/>
              </w:rPr>
            </w:pPr>
            <w:r w:rsidRPr="00FE7970">
              <w:rPr>
                <w:rFonts w:cs="Times New Roman"/>
                <w:color w:val="000000"/>
                <w:sz w:val="18"/>
                <w:szCs w:val="18"/>
                <w:lang w:eastAsia="en-AU"/>
              </w:rPr>
              <w:t>(n=14)</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5/14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6/14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1/14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2/14</w:t>
            </w:r>
          </w:p>
        </w:tc>
      </w:tr>
      <w:tr w:rsidR="00263493"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63493" w:rsidRPr="00FE7970" w:rsidRDefault="00263493" w:rsidP="00263493">
            <w:pPr>
              <w:spacing w:before="0" w:after="0"/>
              <w:rPr>
                <w:rFonts w:cs="Times New Roman"/>
                <w:color w:val="000000"/>
                <w:sz w:val="18"/>
                <w:szCs w:val="18"/>
                <w:lang w:eastAsia="en-AU"/>
              </w:rPr>
            </w:pPr>
            <w:r w:rsidRPr="00FE7970">
              <w:rPr>
                <w:rFonts w:cs="Times New Roman"/>
                <w:color w:val="000000"/>
                <w:sz w:val="18"/>
                <w:szCs w:val="18"/>
                <w:lang w:eastAsia="en-AU"/>
              </w:rPr>
              <w:t>Tobacco Companies</w:t>
            </w:r>
          </w:p>
          <w:p w:rsidR="00263493" w:rsidRPr="00FE7970" w:rsidRDefault="00263493" w:rsidP="00263493">
            <w:pPr>
              <w:spacing w:before="0" w:after="0"/>
              <w:rPr>
                <w:rFonts w:cs="Times New Roman"/>
                <w:color w:val="000000"/>
                <w:sz w:val="18"/>
                <w:szCs w:val="18"/>
                <w:lang w:eastAsia="en-AU"/>
              </w:rPr>
            </w:pPr>
            <w:r>
              <w:rPr>
                <w:rFonts w:cs="Times New Roman"/>
                <w:color w:val="000000"/>
                <w:sz w:val="18"/>
                <w:szCs w:val="18"/>
                <w:lang w:eastAsia="en-AU"/>
              </w:rPr>
              <w:t>(n=3</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263493" w:rsidRPr="00C05D65" w:rsidRDefault="00263493" w:rsidP="00263493">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63493" w:rsidRPr="00C05D65" w:rsidRDefault="00263493" w:rsidP="00263493">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63493" w:rsidRPr="00C05D65" w:rsidRDefault="00263493" w:rsidP="00263493">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263493" w:rsidRPr="00C05D65" w:rsidRDefault="00263493" w:rsidP="00263493">
            <w:pPr>
              <w:spacing w:after="0"/>
              <w:jc w:val="center"/>
              <w:rPr>
                <w:rFonts w:cs="Times New Roman"/>
                <w:color w:val="000000"/>
                <w:sz w:val="18"/>
                <w:szCs w:val="18"/>
                <w:lang w:eastAsia="en-AU"/>
              </w:rPr>
            </w:pPr>
            <w:r>
              <w:rPr>
                <w:rFonts w:cs="Times New Roman"/>
                <w:color w:val="000000"/>
                <w:sz w:val="18"/>
                <w:szCs w:val="18"/>
                <w:lang w:eastAsia="en-AU"/>
              </w:rPr>
              <w:t>1/3</w:t>
            </w:r>
          </w:p>
        </w:tc>
      </w:tr>
      <w:tr w:rsidR="00BA2477"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A2477" w:rsidRPr="00FE7970" w:rsidRDefault="00BA2477" w:rsidP="00BA2477">
            <w:pPr>
              <w:spacing w:before="0" w:after="0"/>
              <w:rPr>
                <w:rFonts w:cs="Times New Roman"/>
                <w:color w:val="000000"/>
                <w:sz w:val="18"/>
                <w:szCs w:val="18"/>
                <w:lang w:eastAsia="en-AU"/>
              </w:rPr>
            </w:pPr>
            <w:r w:rsidRPr="00FE7970">
              <w:rPr>
                <w:rFonts w:cs="Times New Roman"/>
                <w:color w:val="000000"/>
                <w:sz w:val="18"/>
                <w:szCs w:val="18"/>
                <w:lang w:eastAsia="en-AU"/>
              </w:rPr>
              <w:t>Tobacco Wholesalers/</w:t>
            </w:r>
          </w:p>
          <w:p w:rsidR="00BA2477" w:rsidRPr="00FE7970" w:rsidRDefault="00BA2477" w:rsidP="00BA2477">
            <w:pPr>
              <w:spacing w:before="0" w:after="0"/>
              <w:rPr>
                <w:rFonts w:cs="Times New Roman"/>
                <w:color w:val="000000"/>
                <w:sz w:val="18"/>
                <w:szCs w:val="18"/>
                <w:lang w:eastAsia="en-AU"/>
              </w:rPr>
            </w:pPr>
            <w:r w:rsidRPr="00FE7970">
              <w:rPr>
                <w:rFonts w:cs="Times New Roman"/>
                <w:color w:val="000000"/>
                <w:sz w:val="18"/>
                <w:szCs w:val="18"/>
                <w:lang w:eastAsia="en-AU"/>
              </w:rPr>
              <w:t>Importers</w:t>
            </w:r>
          </w:p>
          <w:p w:rsidR="00BA2477" w:rsidRPr="00FE7970" w:rsidRDefault="00BA2477" w:rsidP="00BA2477">
            <w:pPr>
              <w:spacing w:before="0" w:after="0"/>
              <w:rPr>
                <w:rFonts w:cs="Times New Roman"/>
                <w:color w:val="000000"/>
                <w:sz w:val="18"/>
                <w:szCs w:val="18"/>
                <w:lang w:eastAsia="en-AU"/>
              </w:rPr>
            </w:pPr>
            <w:r w:rsidRPr="00FE7970">
              <w:rPr>
                <w:rFonts w:cs="Times New Roman"/>
                <w:color w:val="000000"/>
                <w:sz w:val="18"/>
                <w:szCs w:val="18"/>
                <w:lang w:eastAsia="en-AU"/>
              </w:rPr>
              <w:t>(n=3)</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1/3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0</w:t>
            </w:r>
            <w:r w:rsidR="00D00A04">
              <w:rPr>
                <w:rFonts w:cs="Times New Roman"/>
                <w:color w:val="000000"/>
                <w:sz w:val="18"/>
                <w:szCs w:val="18"/>
                <w:lang w:eastAsia="en-AU"/>
              </w:rPr>
              <w:t>/3</w:t>
            </w:r>
          </w:p>
        </w:tc>
      </w:tr>
      <w:tr w:rsidR="00BA2477"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A2477" w:rsidRPr="00FE7970" w:rsidRDefault="00BA2477" w:rsidP="00BA2477">
            <w:pPr>
              <w:spacing w:before="0" w:after="0"/>
              <w:rPr>
                <w:rFonts w:cs="Times New Roman"/>
                <w:color w:val="000000"/>
                <w:sz w:val="18"/>
                <w:szCs w:val="18"/>
                <w:lang w:eastAsia="en-AU"/>
              </w:rPr>
            </w:pPr>
            <w:r w:rsidRPr="00FE7970">
              <w:rPr>
                <w:rFonts w:cs="Times New Roman"/>
                <w:color w:val="000000"/>
                <w:sz w:val="18"/>
                <w:szCs w:val="18"/>
                <w:lang w:eastAsia="en-AU"/>
              </w:rPr>
              <w:t>Tobacco Retailers</w:t>
            </w:r>
          </w:p>
          <w:p w:rsidR="00BA2477" w:rsidRPr="00FE7970" w:rsidRDefault="00BA2477" w:rsidP="00BA2477">
            <w:pPr>
              <w:spacing w:before="0" w:after="0"/>
              <w:rPr>
                <w:rFonts w:cs="Times New Roman"/>
                <w:color w:val="000000"/>
                <w:sz w:val="18"/>
                <w:szCs w:val="18"/>
                <w:lang w:eastAsia="en-AU"/>
              </w:rPr>
            </w:pPr>
            <w:r w:rsidRPr="00FE7970">
              <w:rPr>
                <w:rFonts w:cs="Times New Roman"/>
                <w:color w:val="000000"/>
                <w:sz w:val="18"/>
                <w:szCs w:val="18"/>
                <w:lang w:eastAsia="en-AU"/>
              </w:rPr>
              <w:t>(n=68)</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4/68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55/68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5/68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4/68</w:t>
            </w:r>
          </w:p>
        </w:tc>
      </w:tr>
      <w:tr w:rsidR="00BA2477"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A2477" w:rsidRPr="00FE7970" w:rsidRDefault="00BA2477" w:rsidP="00BA2477">
            <w:pPr>
              <w:spacing w:before="0" w:after="0"/>
              <w:rPr>
                <w:rFonts w:cs="Times New Roman"/>
                <w:color w:val="000000"/>
                <w:sz w:val="18"/>
                <w:szCs w:val="18"/>
                <w:lang w:eastAsia="en-AU"/>
              </w:rPr>
            </w:pPr>
            <w:r w:rsidRPr="00FE7970">
              <w:rPr>
                <w:rFonts w:cs="Times New Roman"/>
                <w:color w:val="000000"/>
                <w:sz w:val="18"/>
                <w:szCs w:val="18"/>
                <w:lang w:eastAsia="en-AU"/>
              </w:rPr>
              <w:t>Consumers</w:t>
            </w:r>
          </w:p>
          <w:p w:rsidR="00BA2477" w:rsidRPr="00FE7970" w:rsidRDefault="00BA2477" w:rsidP="00BA2477">
            <w:pPr>
              <w:spacing w:before="0" w:after="0"/>
              <w:rPr>
                <w:rFonts w:cs="Times New Roman"/>
                <w:color w:val="000000"/>
                <w:sz w:val="18"/>
                <w:szCs w:val="18"/>
                <w:lang w:eastAsia="en-AU"/>
              </w:rPr>
            </w:pPr>
            <w:r w:rsidRPr="00FE7970">
              <w:rPr>
                <w:rFonts w:cs="Times New Roman"/>
                <w:color w:val="000000"/>
                <w:sz w:val="18"/>
                <w:szCs w:val="18"/>
                <w:lang w:eastAsia="en-AU"/>
              </w:rPr>
              <w:t>(n=412)</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9/412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365/412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11/412</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27/412</w:t>
            </w:r>
          </w:p>
        </w:tc>
      </w:tr>
      <w:tr w:rsidR="00BA2477"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A2477" w:rsidRPr="00FE7970" w:rsidRDefault="00BA2477" w:rsidP="00BA2477">
            <w:pPr>
              <w:spacing w:before="0" w:after="0"/>
              <w:rPr>
                <w:rFonts w:cs="Times New Roman"/>
                <w:color w:val="000000"/>
                <w:sz w:val="18"/>
                <w:szCs w:val="18"/>
                <w:lang w:eastAsia="en-AU"/>
              </w:rPr>
            </w:pPr>
            <w:r w:rsidRPr="00FE7970">
              <w:rPr>
                <w:rFonts w:cs="Times New Roman"/>
                <w:color w:val="000000"/>
                <w:sz w:val="18"/>
                <w:szCs w:val="18"/>
                <w:lang w:eastAsia="en-AU"/>
              </w:rPr>
              <w:t>Other</w:t>
            </w:r>
          </w:p>
          <w:p w:rsidR="00BA2477" w:rsidRPr="00FE7970" w:rsidRDefault="00BA2477" w:rsidP="00BA2477">
            <w:pPr>
              <w:spacing w:before="0" w:after="0"/>
              <w:rPr>
                <w:rFonts w:cs="Times New Roman"/>
                <w:color w:val="000000"/>
                <w:sz w:val="18"/>
                <w:szCs w:val="18"/>
                <w:lang w:eastAsia="en-AU"/>
              </w:rPr>
            </w:pPr>
            <w:r w:rsidRPr="00FE7970">
              <w:rPr>
                <w:rFonts w:cs="Times New Roman"/>
                <w:color w:val="000000"/>
                <w:sz w:val="18"/>
                <w:szCs w:val="18"/>
                <w:lang w:eastAsia="en-AU"/>
              </w:rPr>
              <w:t>(n=</w:t>
            </w:r>
            <w:r w:rsidR="004B7A40">
              <w:rPr>
                <w:rFonts w:cs="Times New Roman"/>
                <w:color w:val="000000"/>
                <w:sz w:val="18"/>
                <w:szCs w:val="18"/>
                <w:lang w:eastAsia="en-AU"/>
              </w:rPr>
              <w:t>14</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1/</w:t>
            </w:r>
            <w:r w:rsidR="004B7A40">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4B7A40" w:rsidP="00BA2477">
            <w:pPr>
              <w:spacing w:after="0"/>
              <w:jc w:val="center"/>
              <w:rPr>
                <w:rFonts w:cs="Times New Roman"/>
                <w:color w:val="000000"/>
                <w:sz w:val="18"/>
                <w:szCs w:val="18"/>
                <w:lang w:eastAsia="en-AU"/>
              </w:rPr>
            </w:pPr>
            <w:r>
              <w:rPr>
                <w:rFonts w:cs="Times New Roman"/>
                <w:color w:val="000000"/>
                <w:sz w:val="18"/>
                <w:szCs w:val="18"/>
                <w:lang w:eastAsia="en-AU"/>
              </w:rPr>
              <w:t>11</w:t>
            </w:r>
            <w:r w:rsidR="00BA2477">
              <w:rPr>
                <w:rFonts w:cs="Times New Roman"/>
                <w:color w:val="000000"/>
                <w:sz w:val="18"/>
                <w:szCs w:val="18"/>
                <w:lang w:eastAsia="en-AU"/>
              </w:rPr>
              <w:t>/</w:t>
            </w:r>
            <w:r>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2/</w:t>
            </w:r>
            <w:r w:rsidR="004B7A40">
              <w:rPr>
                <w:rFonts w:cs="Times New Roman"/>
                <w:color w:val="000000"/>
                <w:sz w:val="18"/>
                <w:szCs w:val="18"/>
                <w:lang w:eastAsia="en-AU"/>
              </w:rPr>
              <w:t>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0</w:t>
            </w:r>
            <w:r w:rsidR="00414071">
              <w:rPr>
                <w:rFonts w:cs="Times New Roman"/>
                <w:color w:val="000000"/>
                <w:sz w:val="18"/>
                <w:szCs w:val="18"/>
                <w:lang w:eastAsia="en-AU"/>
              </w:rPr>
              <w:t>/</w:t>
            </w:r>
            <w:r w:rsidR="004B7A40">
              <w:rPr>
                <w:rFonts w:cs="Times New Roman"/>
                <w:color w:val="000000"/>
                <w:sz w:val="18"/>
                <w:szCs w:val="18"/>
                <w:lang w:eastAsia="en-AU"/>
              </w:rPr>
              <w:t>14</w:t>
            </w:r>
          </w:p>
        </w:tc>
      </w:tr>
      <w:tr w:rsidR="00BA2477"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A2477" w:rsidRPr="00FE7970" w:rsidRDefault="00BA2477" w:rsidP="00BA2477">
            <w:pPr>
              <w:spacing w:before="0" w:after="0"/>
              <w:rPr>
                <w:rFonts w:cs="Times New Roman"/>
                <w:color w:val="000000"/>
                <w:sz w:val="18"/>
                <w:szCs w:val="18"/>
                <w:lang w:eastAsia="en-AU"/>
              </w:rPr>
            </w:pPr>
            <w:r w:rsidRPr="00FE7970">
              <w:rPr>
                <w:rFonts w:cs="Times New Roman"/>
                <w:color w:val="000000"/>
                <w:sz w:val="18"/>
                <w:szCs w:val="18"/>
                <w:lang w:eastAsia="en-AU"/>
              </w:rPr>
              <w:t>Unspecified</w:t>
            </w:r>
          </w:p>
          <w:p w:rsidR="00BA2477" w:rsidRPr="00FE7970" w:rsidRDefault="00BA2477" w:rsidP="00BA2477">
            <w:pPr>
              <w:spacing w:before="0" w:after="0"/>
              <w:rPr>
                <w:rFonts w:cs="Times New Roman"/>
                <w:color w:val="000000"/>
                <w:sz w:val="18"/>
                <w:szCs w:val="18"/>
                <w:lang w:eastAsia="en-AU"/>
              </w:rPr>
            </w:pPr>
            <w:r>
              <w:rPr>
                <w:rFonts w:cs="Times New Roman"/>
                <w:color w:val="000000"/>
                <w:sz w:val="18"/>
                <w:szCs w:val="18"/>
                <w:lang w:eastAsia="en-AU"/>
              </w:rPr>
              <w:t>(n= 10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1/10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8/10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0</w:t>
            </w:r>
            <w:r w:rsidR="002A16A7">
              <w:rPr>
                <w:rFonts w:cs="Times New Roman"/>
                <w:color w:val="000000"/>
                <w:sz w:val="18"/>
                <w:szCs w:val="18"/>
                <w:lang w:eastAsia="en-AU"/>
              </w:rPr>
              <w:t>/10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BA2477" w:rsidRPr="007452FB" w:rsidRDefault="00BA2477" w:rsidP="00BA2477">
            <w:pPr>
              <w:spacing w:after="0"/>
              <w:jc w:val="center"/>
              <w:rPr>
                <w:rFonts w:cs="Times New Roman"/>
                <w:color w:val="000000"/>
                <w:sz w:val="18"/>
                <w:szCs w:val="18"/>
                <w:lang w:eastAsia="en-AU"/>
              </w:rPr>
            </w:pPr>
            <w:r>
              <w:rPr>
                <w:rFonts w:cs="Times New Roman"/>
                <w:color w:val="000000"/>
                <w:sz w:val="18"/>
                <w:szCs w:val="18"/>
                <w:lang w:eastAsia="en-AU"/>
              </w:rPr>
              <w:t>1/10</w:t>
            </w:r>
          </w:p>
        </w:tc>
      </w:tr>
    </w:tbl>
    <w:p w:rsidR="001D4FC2" w:rsidRDefault="001D4FC2" w:rsidP="001D4FC2">
      <w:pPr>
        <w:pStyle w:val="Heading4"/>
      </w:pPr>
      <w:r w:rsidRPr="0044799A">
        <w:t xml:space="preserve">Qualitative </w:t>
      </w:r>
      <w:r>
        <w:t xml:space="preserve">responses </w:t>
      </w:r>
    </w:p>
    <w:p w:rsidR="00FE28CF" w:rsidRPr="008D3757" w:rsidRDefault="00FE28CF" w:rsidP="00EC02D0">
      <w:pPr>
        <w:pStyle w:val="Bullet"/>
        <w:numPr>
          <w:ilvl w:val="0"/>
          <w:numId w:val="0"/>
        </w:numPr>
      </w:pPr>
      <w:r>
        <w:t>Qualitative responses (those that aligned with the consultation protocol and those that did not align with the consultation protocol) from all organisations and individual stakeholders were</w:t>
      </w:r>
      <w:r w:rsidRPr="0044799A">
        <w:t xml:space="preserve"> analysed and then </w:t>
      </w:r>
      <w:r>
        <w:t xml:space="preserve">presented below </w:t>
      </w:r>
      <w:r w:rsidRPr="008D3757">
        <w:t>according to</w:t>
      </w:r>
      <w:r>
        <w:t xml:space="preserve"> themes. </w:t>
      </w:r>
      <w:r w:rsidRPr="008D3757">
        <w:t>These themes include:</w:t>
      </w:r>
    </w:p>
    <w:p w:rsidR="00420222" w:rsidRDefault="003B6E38" w:rsidP="00EC02D0">
      <w:pPr>
        <w:pStyle w:val="Bullet"/>
        <w:spacing w:before="60" w:after="60"/>
      </w:pPr>
      <w:r>
        <w:t>E</w:t>
      </w:r>
      <w:r w:rsidR="00420222" w:rsidRPr="00D63A2E">
        <w:t>ncouraging people to give up smoking</w:t>
      </w:r>
      <w:r>
        <w:t>; and</w:t>
      </w:r>
    </w:p>
    <w:p w:rsidR="00420222" w:rsidRDefault="003B6E38" w:rsidP="00EC02D0">
      <w:pPr>
        <w:pStyle w:val="Bullet"/>
        <w:spacing w:before="60" w:after="60"/>
        <w:rPr>
          <w:szCs w:val="24"/>
        </w:rPr>
      </w:pPr>
      <w:r>
        <w:t>R</w:t>
      </w:r>
      <w:r w:rsidR="00420222" w:rsidRPr="0068429E">
        <w:t xml:space="preserve">easons why people </w:t>
      </w:r>
      <w:r w:rsidR="00420222">
        <w:t>give up smoking.</w:t>
      </w:r>
    </w:p>
    <w:p w:rsidR="0045153E" w:rsidRDefault="00EE30D9" w:rsidP="00A4776C">
      <w:pPr>
        <w:pStyle w:val="Heading5"/>
      </w:pPr>
      <w:bookmarkStart w:id="110" w:name="_Toc422478389"/>
      <w:r>
        <w:lastRenderedPageBreak/>
        <w:t>Encouraging people to give up smoking</w:t>
      </w:r>
      <w:bookmarkEnd w:id="110"/>
    </w:p>
    <w:p w:rsidR="00897BD3" w:rsidRPr="00915CB8" w:rsidRDefault="004F0954" w:rsidP="00915CB8">
      <w:pPr>
        <w:spacing w:before="60" w:after="60"/>
      </w:pPr>
      <w:r>
        <w:t>P</w:t>
      </w:r>
      <w:r w:rsidR="004D3FD8">
        <w:t>ublic health organisation</w:t>
      </w:r>
      <w:r w:rsidR="00EE3F4C" w:rsidRPr="00915CB8">
        <w:t xml:space="preserve"> </w:t>
      </w:r>
      <w:r w:rsidR="004D3FD8">
        <w:t xml:space="preserve">and expert </w:t>
      </w:r>
      <w:r w:rsidR="004D3FD8">
        <w:rPr>
          <w:szCs w:val="20"/>
        </w:rPr>
        <w:t>stakeholder/s</w:t>
      </w:r>
      <w:r w:rsidR="004D3FD8">
        <w:t xml:space="preserve">, government department </w:t>
      </w:r>
      <w:r w:rsidR="004D3FD8">
        <w:rPr>
          <w:szCs w:val="20"/>
        </w:rPr>
        <w:t>stakeholder/s</w:t>
      </w:r>
      <w:r w:rsidR="004D3FD8">
        <w:t xml:space="preserve"> and health related NGO </w:t>
      </w:r>
      <w:r w:rsidR="004D3FD8">
        <w:rPr>
          <w:szCs w:val="20"/>
        </w:rPr>
        <w:t>stakeholder/s</w:t>
      </w:r>
      <w:r w:rsidR="00EE3F4C" w:rsidRPr="00915CB8">
        <w:t xml:space="preserve"> </w:t>
      </w:r>
      <w:r>
        <w:t xml:space="preserve">that provided a positive rating </w:t>
      </w:r>
      <w:r w:rsidR="00EE3F4C" w:rsidRPr="00915CB8">
        <w:t xml:space="preserve">believe that the </w:t>
      </w:r>
      <w:r w:rsidR="00416DF1" w:rsidRPr="00915CB8">
        <w:t xml:space="preserve">tobacco plain packaging </w:t>
      </w:r>
      <w:r w:rsidR="00EE3F4C" w:rsidRPr="00915CB8">
        <w:t xml:space="preserve">measure, as part of a comprehensive approach to tobacco control, has had some and may, in the longer term, have a substantial impact on encouraging people to stop smoking. </w:t>
      </w:r>
      <w:r w:rsidR="006B2B1D" w:rsidRPr="00915CB8">
        <w:t xml:space="preserve">As described above in Section </w:t>
      </w:r>
      <w:r w:rsidR="00DA1A2B">
        <w:t>2.1</w:t>
      </w:r>
      <w:r w:rsidR="006B2B1D" w:rsidRPr="00915CB8">
        <w:t xml:space="preserve"> of this report, this group of </w:t>
      </w:r>
      <w:r w:rsidR="0082622E">
        <w:t>stakeholders</w:t>
      </w:r>
      <w:r w:rsidR="006B2B1D" w:rsidRPr="00915CB8">
        <w:t xml:space="preserve"> believe, based on evidence of the measure’s positive impact on </w:t>
      </w:r>
      <w:r w:rsidR="0029125B">
        <w:t>intermediate objectives</w:t>
      </w:r>
      <w:r w:rsidR="006B2B1D" w:rsidRPr="00915CB8">
        <w:t xml:space="preserve"> such as reduced appeal, increased effectiveness of health </w:t>
      </w:r>
      <w:r w:rsidR="0031770E" w:rsidRPr="00915CB8">
        <w:t>warnings and the reduced ability</w:t>
      </w:r>
      <w:r w:rsidR="00CE1DA2" w:rsidRPr="00915CB8">
        <w:t xml:space="preserve"> of </w:t>
      </w:r>
      <w:r w:rsidR="00AC04F3" w:rsidRPr="00915CB8">
        <w:t>packaging</w:t>
      </w:r>
      <w:r w:rsidR="0031770E" w:rsidRPr="00915CB8">
        <w:t xml:space="preserve"> to mislead consumers</w:t>
      </w:r>
      <w:r w:rsidR="00844AB7">
        <w:t>,</w:t>
      </w:r>
      <w:r w:rsidR="0031770E" w:rsidRPr="00915CB8">
        <w:t xml:space="preserve"> means that the measure is likely to have an impact on longer-term </w:t>
      </w:r>
      <w:r w:rsidR="0029125B">
        <w:t>objectives</w:t>
      </w:r>
      <w:r w:rsidR="0031770E" w:rsidRPr="00915CB8">
        <w:t xml:space="preserve"> such as encouraging people to give up smoking. </w:t>
      </w:r>
      <w:r w:rsidR="0082622E">
        <w:t>These stakeholders</w:t>
      </w:r>
      <w:r w:rsidR="0031770E" w:rsidRPr="00915CB8">
        <w:t xml:space="preserve"> cited </w:t>
      </w:r>
      <w:r w:rsidR="004424F9">
        <w:t xml:space="preserve">the following </w:t>
      </w:r>
      <w:r w:rsidR="00844AB7">
        <w:t xml:space="preserve">peer reviewed </w:t>
      </w:r>
      <w:r w:rsidR="0031770E" w:rsidRPr="00915CB8">
        <w:t xml:space="preserve">sources which </w:t>
      </w:r>
      <w:r w:rsidR="0082622E">
        <w:t xml:space="preserve">they believe </w:t>
      </w:r>
      <w:r w:rsidR="0031770E" w:rsidRPr="00915CB8">
        <w:t>suggest that:</w:t>
      </w:r>
    </w:p>
    <w:p w:rsidR="00CB5C01" w:rsidRPr="00915CB8" w:rsidRDefault="00CB5C01" w:rsidP="00EC02D0">
      <w:pPr>
        <w:pStyle w:val="Bullet"/>
        <w:spacing w:before="60" w:after="60"/>
        <w:rPr>
          <w:szCs w:val="24"/>
        </w:rPr>
      </w:pPr>
      <w:r>
        <w:rPr>
          <w:szCs w:val="24"/>
        </w:rPr>
        <w:t xml:space="preserve">Wakefield et al, 2013, a peer reviewed article, which was cited as </w:t>
      </w:r>
      <w:r w:rsidR="00FE0748">
        <w:t>showing</w:t>
      </w:r>
      <w:r>
        <w:rPr>
          <w:szCs w:val="24"/>
        </w:rPr>
        <w:t xml:space="preserve"> that </w:t>
      </w:r>
      <w:r w:rsidRPr="00915CB8">
        <w:rPr>
          <w:szCs w:val="24"/>
        </w:rPr>
        <w:t>compared with branded pack smokers, those smoking from plain packs perceived their cigarettes as less satisfying and were more likely to have thought about quitting at least once a day in the past week and to rate quitting as a</w:t>
      </w:r>
      <w:r>
        <w:rPr>
          <w:szCs w:val="24"/>
        </w:rPr>
        <w:t xml:space="preserve"> higher priority in their lives</w:t>
      </w:r>
      <w:r w:rsidR="003B6E38">
        <w:rPr>
          <w:szCs w:val="24"/>
        </w:rPr>
        <w:t>;</w:t>
      </w:r>
    </w:p>
    <w:p w:rsidR="00CB5C01" w:rsidRPr="00915CB8" w:rsidRDefault="00CB5C01" w:rsidP="00EC02D0">
      <w:pPr>
        <w:pStyle w:val="Bullet"/>
        <w:spacing w:before="60" w:after="60"/>
        <w:rPr>
          <w:szCs w:val="24"/>
        </w:rPr>
      </w:pPr>
      <w:r>
        <w:rPr>
          <w:szCs w:val="24"/>
        </w:rPr>
        <w:t xml:space="preserve">Young et al, 2014, a peer reviewed article, which was cited as </w:t>
      </w:r>
      <w:r w:rsidR="00FE0748">
        <w:t>showing</w:t>
      </w:r>
      <w:r>
        <w:rPr>
          <w:szCs w:val="24"/>
        </w:rPr>
        <w:t xml:space="preserve"> that </w:t>
      </w:r>
      <w:r w:rsidRPr="00915CB8">
        <w:rPr>
          <w:szCs w:val="24"/>
        </w:rPr>
        <w:t>there was a 78% increase in the number of calls to the smoking cessation helpline Quitline (NSW) associated with the introduction of plain packaging. The sustained increase in calls to the Quitline was not attributable to anti-tobacco advertising activity, cigarette price increases nor other identifiable c</w:t>
      </w:r>
      <w:r>
        <w:rPr>
          <w:szCs w:val="24"/>
        </w:rPr>
        <w:t>auses</w:t>
      </w:r>
      <w:r w:rsidR="003D139E">
        <w:rPr>
          <w:szCs w:val="24"/>
        </w:rPr>
        <w:t>;</w:t>
      </w:r>
    </w:p>
    <w:p w:rsidR="00CB5C01" w:rsidRPr="00915CB8" w:rsidRDefault="00CB5C01" w:rsidP="00EC02D0">
      <w:pPr>
        <w:pStyle w:val="Bullet"/>
        <w:spacing w:before="60" w:after="60"/>
        <w:rPr>
          <w:szCs w:val="24"/>
        </w:rPr>
      </w:pPr>
      <w:r>
        <w:rPr>
          <w:szCs w:val="24"/>
        </w:rPr>
        <w:t xml:space="preserve">Durkin et al, 2015, a peer reviewed article, which was cited as </w:t>
      </w:r>
      <w:r w:rsidR="00FE0748">
        <w:t>showing</w:t>
      </w:r>
      <w:r>
        <w:rPr>
          <w:szCs w:val="24"/>
        </w:rPr>
        <w:t xml:space="preserve"> that </w:t>
      </w:r>
      <w:r w:rsidRPr="00915CB8">
        <w:rPr>
          <w:szCs w:val="24"/>
        </w:rPr>
        <w:t>changes in smokers’ thoughts and behaviours after plain packaging was introduced show that plain packaging encouraged quitting through increased quitting r</w:t>
      </w:r>
      <w:r>
        <w:rPr>
          <w:szCs w:val="24"/>
        </w:rPr>
        <w:t>elated thoughts and behaviours</w:t>
      </w:r>
      <w:r w:rsidR="003D139E">
        <w:rPr>
          <w:szCs w:val="24"/>
        </w:rPr>
        <w:t>;</w:t>
      </w:r>
    </w:p>
    <w:p w:rsidR="00CB5C01" w:rsidRPr="00915CB8" w:rsidRDefault="00CB5C01" w:rsidP="00EC02D0">
      <w:pPr>
        <w:pStyle w:val="Bullet"/>
        <w:spacing w:before="60" w:after="60"/>
        <w:rPr>
          <w:szCs w:val="24"/>
        </w:rPr>
      </w:pPr>
      <w:r>
        <w:rPr>
          <w:szCs w:val="24"/>
        </w:rPr>
        <w:t>Brennan et al, 2015, a peer review</w:t>
      </w:r>
      <w:r w:rsidR="00FE0748">
        <w:rPr>
          <w:szCs w:val="24"/>
        </w:rPr>
        <w:t xml:space="preserve">ed article, which was cited as </w:t>
      </w:r>
      <w:r w:rsidR="00FE0748">
        <w:t>showing</w:t>
      </w:r>
      <w:r>
        <w:rPr>
          <w:szCs w:val="24"/>
        </w:rPr>
        <w:t xml:space="preserve"> that </w:t>
      </w:r>
      <w:r w:rsidRPr="00915CB8">
        <w:rPr>
          <w:szCs w:val="24"/>
        </w:rPr>
        <w:t xml:space="preserve">tobacco plain packaging with larger </w:t>
      </w:r>
      <w:r>
        <w:rPr>
          <w:szCs w:val="24"/>
        </w:rPr>
        <w:t>GHWs</w:t>
      </w:r>
      <w:r w:rsidRPr="00915CB8">
        <w:rPr>
          <w:szCs w:val="24"/>
        </w:rPr>
        <w:t xml:space="preserve"> positively and significantly predicted the likelihood that smokers at follow-up reported thinking about quitting at least daily, intending to quit, having a firm date to quit, stubbing out cigarettes prematurely, stopping oneself from smoking and having attempted to quit</w:t>
      </w:r>
      <w:r w:rsidR="003D139E">
        <w:rPr>
          <w:szCs w:val="24"/>
        </w:rPr>
        <w:t>; and</w:t>
      </w:r>
    </w:p>
    <w:p w:rsidR="00CB5C01" w:rsidRPr="00915CB8" w:rsidRDefault="00CB5C01" w:rsidP="00EC02D0">
      <w:pPr>
        <w:pStyle w:val="Bullet"/>
        <w:spacing w:before="60" w:after="60"/>
        <w:rPr>
          <w:szCs w:val="24"/>
        </w:rPr>
      </w:pPr>
      <w:r>
        <w:rPr>
          <w:szCs w:val="24"/>
        </w:rPr>
        <w:t xml:space="preserve">Miller et al, a 2015, peer reviewed article, which was cited as </w:t>
      </w:r>
      <w:r w:rsidR="00FE0748">
        <w:t>showing</w:t>
      </w:r>
      <w:r>
        <w:rPr>
          <w:szCs w:val="24"/>
        </w:rPr>
        <w:t xml:space="preserve"> that </w:t>
      </w:r>
      <w:r w:rsidRPr="00915CB8">
        <w:rPr>
          <w:szCs w:val="24"/>
        </w:rPr>
        <w:t>smokers of non-premium cigarillos report</w:t>
      </w:r>
      <w:r w:rsidRPr="003B10C3">
        <w:rPr>
          <w:szCs w:val="24"/>
        </w:rPr>
        <w:t>ed</w:t>
      </w:r>
      <w:r w:rsidRPr="00915CB8">
        <w:rPr>
          <w:szCs w:val="24"/>
        </w:rPr>
        <w:t xml:space="preserve"> that they had increased thoughts about quitting and cigar smokers reported reduced consumption of cigars</w:t>
      </w:r>
      <w:r>
        <w:rPr>
          <w:szCs w:val="24"/>
        </w:rPr>
        <w:t>.</w:t>
      </w:r>
    </w:p>
    <w:p w:rsidR="00CE1DA2" w:rsidRPr="00915CB8" w:rsidRDefault="00CE1DA2" w:rsidP="00915CB8">
      <w:pPr>
        <w:spacing w:before="60" w:after="60"/>
      </w:pPr>
      <w:r w:rsidRPr="00915CB8">
        <w:t xml:space="preserve">One tobacco wholesaler and importer who </w:t>
      </w:r>
      <w:r w:rsidR="00547889">
        <w:t xml:space="preserve">provided a positive rating </w:t>
      </w:r>
      <w:r w:rsidRPr="00915CB8">
        <w:t>based their response on anecdotal evidence which suggests that tobacco</w:t>
      </w:r>
      <w:r w:rsidR="00915CB8" w:rsidRPr="00915CB8">
        <w:t xml:space="preserve"> plain packaging has encouraged</w:t>
      </w:r>
      <w:r w:rsidRPr="00915CB8">
        <w:t xml:space="preserve"> some people to give up smoking. The small number of retailers </w:t>
      </w:r>
      <w:r w:rsidR="00EF3CA0">
        <w:t xml:space="preserve">and consumers </w:t>
      </w:r>
      <w:r w:rsidRPr="00915CB8">
        <w:t>who reported that the measure had ‘some’ impact either said</w:t>
      </w:r>
      <w:r w:rsidR="00844AB7">
        <w:t>:</w:t>
      </w:r>
      <w:r w:rsidRPr="00915CB8">
        <w:t xml:space="preserve"> that the more salient health warnings convey the dangers </w:t>
      </w:r>
      <w:r w:rsidR="00915CB8" w:rsidRPr="00915CB8">
        <w:t xml:space="preserve">of smoking </w:t>
      </w:r>
      <w:r w:rsidRPr="00915CB8">
        <w:t>and are therefore likely</w:t>
      </w:r>
      <w:r w:rsidR="008B187A" w:rsidRPr="00915CB8">
        <w:t xml:space="preserve"> to encourage people to give up;</w:t>
      </w:r>
      <w:r w:rsidR="00EF3CA0">
        <w:t xml:space="preserve"> tobacco plain packaging, price rises and other tobacco measures have worked together to encourage people to give up smoking</w:t>
      </w:r>
      <w:r w:rsidR="00D57C1D">
        <w:t>; or they have known people who have given up smoking as a result of tobacco plain packaging</w:t>
      </w:r>
      <w:r w:rsidR="00EB56F6">
        <w:t xml:space="preserve"> and </w:t>
      </w:r>
      <w:r w:rsidR="00EB56F6" w:rsidRPr="00EB56F6">
        <w:t>more prominent health warnings</w:t>
      </w:r>
      <w:r w:rsidR="00EB56F6">
        <w:t>.</w:t>
      </w:r>
      <w:r w:rsidR="004424F9" w:rsidRPr="004424F9">
        <w:t xml:space="preserve"> They did not cite any sources to support their view.</w:t>
      </w:r>
    </w:p>
    <w:p w:rsidR="00CC7160" w:rsidRPr="00915CB8" w:rsidRDefault="00CC7160" w:rsidP="00EC02D0">
      <w:pPr>
        <w:pStyle w:val="Bullet"/>
        <w:numPr>
          <w:ilvl w:val="0"/>
          <w:numId w:val="0"/>
        </w:numPr>
      </w:pPr>
      <w:r>
        <w:t>M</w:t>
      </w:r>
      <w:r w:rsidRPr="00915CB8">
        <w:t xml:space="preserve">ost </w:t>
      </w:r>
      <w:r>
        <w:t>stakeholders from the tobacco industry cited</w:t>
      </w:r>
      <w:r w:rsidRPr="00915CB8">
        <w:t xml:space="preserve"> sources which they believe suggest that the measure has not been successful. </w:t>
      </w:r>
      <w:r>
        <w:t>Tobacco industry stakeholders</w:t>
      </w:r>
      <w:r w:rsidRPr="00915CB8">
        <w:t xml:space="preserve"> referred to the following sources:</w:t>
      </w:r>
    </w:p>
    <w:p w:rsidR="007E00F4" w:rsidRDefault="00A85CAC" w:rsidP="00EC02D0">
      <w:pPr>
        <w:pStyle w:val="Bullet"/>
      </w:pPr>
      <w:r>
        <w:t>A 2015 report by SLG economics which included analysis of t</w:t>
      </w:r>
      <w:r w:rsidRPr="00A640A1">
        <w:t xml:space="preserve">he NSW Cancer Institute Tobacco Tracking Survey </w:t>
      </w:r>
      <w:r>
        <w:t xml:space="preserve">data which was cited as showing that the proportion of smokers surveyed who smoked on a daily </w:t>
      </w:r>
      <w:r w:rsidR="001D46FF">
        <w:t xml:space="preserve">or occasional </w:t>
      </w:r>
      <w:r>
        <w:t>basis actually increased after the introduction of tobacco plain packaging.</w:t>
      </w:r>
      <w:r w:rsidR="007E00F4">
        <w:t xml:space="preserve"> The report was also cited as showing that for </w:t>
      </w:r>
      <w:r w:rsidR="007E00F4">
        <w:lastRenderedPageBreak/>
        <w:t xml:space="preserve">both smokers and ex-smokers it was perceived as more difficult to quit after the introduction of tobacco </w:t>
      </w:r>
      <w:r w:rsidR="00590500">
        <w:t>plain packaging than before it;</w:t>
      </w:r>
    </w:p>
    <w:p w:rsidR="00CE043A" w:rsidRPr="00915CB8" w:rsidRDefault="00CE043A" w:rsidP="00EC02D0">
      <w:pPr>
        <w:pStyle w:val="Bullet"/>
      </w:pPr>
      <w:r>
        <w:t xml:space="preserve">Non-public Roy Morgan research from 2012, referenced in a written submission and cited as </w:t>
      </w:r>
      <w:r w:rsidR="00FE0748">
        <w:t>showing</w:t>
      </w:r>
      <w:r>
        <w:t xml:space="preserve"> that </w:t>
      </w:r>
      <w:r w:rsidRPr="00915CB8">
        <w:t xml:space="preserve">the smoking rate (adult 18+) decline for 2013 actually slowed to 1.4% (this occurred with tobacco plain packaging and before the first 12.5% </w:t>
      </w:r>
      <w:r w:rsidRPr="00915CB8">
        <w:rPr>
          <w:i/>
        </w:rPr>
        <w:t>ad hoc</w:t>
      </w:r>
      <w:r w:rsidRPr="00915CB8">
        <w:t xml:space="preserve"> excise increase) which is more than half of th</w:t>
      </w:r>
      <w:r w:rsidR="003D139E">
        <w:t>e trend decline seen previously;</w:t>
      </w:r>
    </w:p>
    <w:p w:rsidR="00CE043A" w:rsidRPr="00447C9E" w:rsidRDefault="00CE043A" w:rsidP="00EC02D0">
      <w:pPr>
        <w:pStyle w:val="Bullet"/>
      </w:pPr>
      <w:proofErr w:type="spellStart"/>
      <w:r w:rsidRPr="001502F7">
        <w:t>Dono</w:t>
      </w:r>
      <w:proofErr w:type="spellEnd"/>
      <w:r w:rsidRPr="001502F7">
        <w:t xml:space="preserve"> </w:t>
      </w:r>
      <w:r>
        <w:t>&amp; Miller,</w:t>
      </w:r>
      <w:r w:rsidRPr="001502F7">
        <w:t xml:space="preserve"> 201</w:t>
      </w:r>
      <w:r w:rsidR="00271146">
        <w:t>4</w:t>
      </w:r>
      <w:r>
        <w:t xml:space="preserve">, a report, which was cited as </w:t>
      </w:r>
      <w:r w:rsidR="00FE0748">
        <w:t>showing</w:t>
      </w:r>
      <w:r>
        <w:t xml:space="preserve"> that</w:t>
      </w:r>
      <w:r w:rsidRPr="00915CB8">
        <w:t xml:space="preserve"> smoking prevalence for all smoking adults (aged 15+) in South Australia increased from 17.6% to 19.4% between 2011 and 2013 and from 16.7% to 19.4% between 2012 and 2013</w:t>
      </w:r>
      <w:r w:rsidR="003D139E">
        <w:t>;</w:t>
      </w:r>
    </w:p>
    <w:p w:rsidR="00CE043A" w:rsidRDefault="00CE043A" w:rsidP="00EC02D0">
      <w:pPr>
        <w:pStyle w:val="Bullet"/>
        <w:spacing w:before="60" w:after="60"/>
        <w:rPr>
          <w:szCs w:val="24"/>
        </w:rPr>
      </w:pPr>
      <w:proofErr w:type="spellStart"/>
      <w:r>
        <w:rPr>
          <w:szCs w:val="24"/>
        </w:rPr>
        <w:t>Scollo</w:t>
      </w:r>
      <w:proofErr w:type="spellEnd"/>
      <w:r>
        <w:rPr>
          <w:szCs w:val="24"/>
        </w:rPr>
        <w:t xml:space="preserve"> et al, 2014, a peer reviewed article, which was cited as </w:t>
      </w:r>
      <w:r w:rsidR="00FE0748">
        <w:t>showing</w:t>
      </w:r>
      <w:r>
        <w:rPr>
          <w:szCs w:val="24"/>
        </w:rPr>
        <w:t xml:space="preserve"> that </w:t>
      </w:r>
      <w:r w:rsidRPr="00447C9E">
        <w:rPr>
          <w:szCs w:val="24"/>
        </w:rPr>
        <w:t>smoking prevalence may actually have gone up between 2012 and 2013 in Victoria from 14.7% to 15.0%</w:t>
      </w:r>
      <w:r w:rsidR="003D139E">
        <w:rPr>
          <w:szCs w:val="24"/>
        </w:rPr>
        <w:t>;</w:t>
      </w:r>
    </w:p>
    <w:p w:rsidR="00CE043A" w:rsidRDefault="00CE043A" w:rsidP="00EC02D0">
      <w:pPr>
        <w:pStyle w:val="Bullet"/>
        <w:spacing w:before="60" w:after="60"/>
        <w:rPr>
          <w:szCs w:val="24"/>
        </w:rPr>
      </w:pPr>
      <w:r w:rsidRPr="003B10C3">
        <w:rPr>
          <w:szCs w:val="24"/>
        </w:rPr>
        <w:t>A Queensland Health report published in 2014</w:t>
      </w:r>
      <w:r>
        <w:rPr>
          <w:szCs w:val="24"/>
        </w:rPr>
        <w:t xml:space="preserve"> which was cited as</w:t>
      </w:r>
      <w:r w:rsidRPr="0045702D">
        <w:rPr>
          <w:szCs w:val="24"/>
        </w:rPr>
        <w:t xml:space="preserve"> </w:t>
      </w:r>
      <w:r w:rsidR="00FE0748">
        <w:t>showing</w:t>
      </w:r>
      <w:r>
        <w:rPr>
          <w:szCs w:val="24"/>
        </w:rPr>
        <w:t xml:space="preserve"> that</w:t>
      </w:r>
      <w:r w:rsidRPr="003B10C3">
        <w:rPr>
          <w:szCs w:val="24"/>
        </w:rPr>
        <w:t xml:space="preserve"> smoking prevalence</w:t>
      </w:r>
      <w:r>
        <w:rPr>
          <w:strike/>
          <w:szCs w:val="24"/>
        </w:rPr>
        <w:t xml:space="preserve"> </w:t>
      </w:r>
      <w:r w:rsidRPr="003B10C3">
        <w:rPr>
          <w:szCs w:val="24"/>
        </w:rPr>
        <w:t xml:space="preserve"> </w:t>
      </w:r>
      <w:r w:rsidRPr="00447C9E">
        <w:rPr>
          <w:szCs w:val="24"/>
        </w:rPr>
        <w:t xml:space="preserve">in Queensland </w:t>
      </w:r>
      <w:r>
        <w:rPr>
          <w:szCs w:val="24"/>
        </w:rPr>
        <w:t xml:space="preserve">went </w:t>
      </w:r>
      <w:r w:rsidRPr="00447C9E">
        <w:rPr>
          <w:szCs w:val="24"/>
        </w:rPr>
        <w:t>from</w:t>
      </w:r>
      <w:r w:rsidRPr="00915CB8">
        <w:rPr>
          <w:szCs w:val="24"/>
        </w:rPr>
        <w:t xml:space="preserve"> 14.3% to 15.8%</w:t>
      </w:r>
      <w:r w:rsidR="003D139E">
        <w:rPr>
          <w:szCs w:val="24"/>
        </w:rPr>
        <w:t>;</w:t>
      </w:r>
    </w:p>
    <w:p w:rsidR="00CE043A" w:rsidRPr="00915CB8" w:rsidRDefault="00CE043A" w:rsidP="00EC02D0">
      <w:pPr>
        <w:pStyle w:val="Bullet"/>
        <w:spacing w:before="60" w:after="60"/>
        <w:rPr>
          <w:szCs w:val="24"/>
        </w:rPr>
      </w:pPr>
      <w:proofErr w:type="spellStart"/>
      <w:r>
        <w:rPr>
          <w:szCs w:val="24"/>
        </w:rPr>
        <w:t>Radomiljac</w:t>
      </w:r>
      <w:proofErr w:type="spellEnd"/>
      <w:r>
        <w:rPr>
          <w:szCs w:val="24"/>
        </w:rPr>
        <w:t xml:space="preserve"> and Joyce, 2014, a government report which was cited as </w:t>
      </w:r>
      <w:r w:rsidR="00FE0748">
        <w:t>showing</w:t>
      </w:r>
      <w:r>
        <w:rPr>
          <w:szCs w:val="24"/>
        </w:rPr>
        <w:t xml:space="preserve"> that  </w:t>
      </w:r>
      <w:r w:rsidRPr="00915CB8">
        <w:rPr>
          <w:szCs w:val="24"/>
        </w:rPr>
        <w:t>in WA</w:t>
      </w:r>
      <w:r>
        <w:rPr>
          <w:szCs w:val="24"/>
        </w:rPr>
        <w:t xml:space="preserve"> smoking prevalence went </w:t>
      </w:r>
      <w:r w:rsidRPr="00915CB8">
        <w:rPr>
          <w:szCs w:val="24"/>
        </w:rPr>
        <w:t>from 12.7% to 13%</w:t>
      </w:r>
      <w:r w:rsidR="003D139E">
        <w:rPr>
          <w:szCs w:val="24"/>
        </w:rPr>
        <w:t>;</w:t>
      </w:r>
    </w:p>
    <w:p w:rsidR="00CE043A" w:rsidRPr="00915CB8" w:rsidRDefault="00CE043A" w:rsidP="00EC02D0">
      <w:pPr>
        <w:pStyle w:val="Bullet"/>
      </w:pPr>
      <w:r>
        <w:t xml:space="preserve">Europe Economics, a 2015 report, which was cited as </w:t>
      </w:r>
      <w:r w:rsidR="00FE0748">
        <w:t>showing</w:t>
      </w:r>
      <w:r>
        <w:t xml:space="preserve"> that tobacco </w:t>
      </w:r>
      <w:r w:rsidRPr="00915CB8">
        <w:t>plain packaging has had no statistically significant impact upon Australia’s pre-existing decline in tobacco consumption and prevalence and in some cases reports suggest that consumption may have risen, relative to previous trends (where controlled for), following the introduction of tobacco plain packaging</w:t>
      </w:r>
      <w:r w:rsidR="003D139E">
        <w:t>; and</w:t>
      </w:r>
    </w:p>
    <w:p w:rsidR="00CE043A" w:rsidRPr="00915CB8" w:rsidRDefault="00CE043A" w:rsidP="00EC02D0">
      <w:pPr>
        <w:pStyle w:val="Bullet"/>
        <w:spacing w:before="60" w:after="60"/>
        <w:rPr>
          <w:szCs w:val="24"/>
        </w:rPr>
      </w:pPr>
      <w:proofErr w:type="spellStart"/>
      <w:r>
        <w:rPr>
          <w:szCs w:val="24"/>
        </w:rPr>
        <w:t>Kaul</w:t>
      </w:r>
      <w:proofErr w:type="spellEnd"/>
      <w:r>
        <w:rPr>
          <w:szCs w:val="24"/>
        </w:rPr>
        <w:t xml:space="preserve"> and Wolf, </w:t>
      </w:r>
      <w:r w:rsidR="00CD50C9">
        <w:rPr>
          <w:szCs w:val="24"/>
        </w:rPr>
        <w:t xml:space="preserve">June </w:t>
      </w:r>
      <w:r>
        <w:rPr>
          <w:szCs w:val="24"/>
        </w:rPr>
        <w:t xml:space="preserve">2014, a working paper, which was cited as </w:t>
      </w:r>
      <w:r w:rsidR="00FE0748">
        <w:t>showing</w:t>
      </w:r>
      <w:r>
        <w:rPr>
          <w:szCs w:val="24"/>
        </w:rPr>
        <w:t xml:space="preserve"> that </w:t>
      </w:r>
      <w:r w:rsidRPr="00915CB8">
        <w:rPr>
          <w:szCs w:val="24"/>
        </w:rPr>
        <w:t>there was no l</w:t>
      </w:r>
      <w:r>
        <w:rPr>
          <w:szCs w:val="24"/>
        </w:rPr>
        <w:t>ong term deviation in Australia’s</w:t>
      </w:r>
      <w:r w:rsidRPr="00915CB8">
        <w:rPr>
          <w:szCs w:val="24"/>
        </w:rPr>
        <w:t xml:space="preserve"> long-term decline in smoking rates as a result of tobacco plain packaging</w:t>
      </w:r>
      <w:r w:rsidR="003D139E">
        <w:rPr>
          <w:szCs w:val="24"/>
        </w:rPr>
        <w:t>.</w:t>
      </w:r>
    </w:p>
    <w:p w:rsidR="00CE043A" w:rsidRPr="00915CB8" w:rsidRDefault="00CE043A" w:rsidP="00EC02D0">
      <w:pPr>
        <w:pStyle w:val="Bullet"/>
        <w:numPr>
          <w:ilvl w:val="0"/>
          <w:numId w:val="0"/>
        </w:numPr>
      </w:pPr>
      <w:r w:rsidRPr="00915CB8">
        <w:t xml:space="preserve">The tobacco industry also </w:t>
      </w:r>
      <w:r>
        <w:t xml:space="preserve">cited Young et al, 2014 a </w:t>
      </w:r>
      <w:r w:rsidRPr="00915CB8">
        <w:t xml:space="preserve"> peer reviewed</w:t>
      </w:r>
      <w:r>
        <w:t xml:space="preserve"> article</w:t>
      </w:r>
      <w:r w:rsidRPr="00915CB8">
        <w:t xml:space="preserve"> (also cited above by public health advocates) which </w:t>
      </w:r>
      <w:r>
        <w:t xml:space="preserve">was cited as </w:t>
      </w:r>
      <w:r w:rsidR="00FE0748">
        <w:t>showing</w:t>
      </w:r>
      <w:r>
        <w:t xml:space="preserve"> </w:t>
      </w:r>
      <w:r w:rsidRPr="00915CB8">
        <w:t xml:space="preserve">that the increased number of calls to the NSW Quitline four weeks after the introduction of tobacco plain packaging were not sustained </w:t>
      </w:r>
      <w:r w:rsidRPr="003B10C3">
        <w:t>and</w:t>
      </w:r>
      <w:r w:rsidRPr="00C23FC9">
        <w:t xml:space="preserve"> </w:t>
      </w:r>
      <w:r>
        <w:t>also Durkin et al, 2015 a peer reviewed article that was cited as</w:t>
      </w:r>
      <w:r w:rsidR="0087406D">
        <w:t xml:space="preserve"> </w:t>
      </w:r>
      <w:r w:rsidR="00FE0748">
        <w:t>showing</w:t>
      </w:r>
      <w:r w:rsidRPr="003B10C3">
        <w:t xml:space="preserve"> that</w:t>
      </w:r>
      <w:r w:rsidRPr="00C23FC9">
        <w:t xml:space="preserve"> the short-term changes in smokers quit intentions were no different after the full implementation of the measure than in the pre-tobacco plain packaging phase</w:t>
      </w:r>
      <w:r>
        <w:t>.</w:t>
      </w:r>
      <w:r w:rsidRPr="00C23FC9">
        <w:t xml:space="preserve"> Further, tobacco company </w:t>
      </w:r>
      <w:r w:rsidRPr="00C23FC9">
        <w:rPr>
          <w:szCs w:val="20"/>
        </w:rPr>
        <w:t>stakeholder/s</w:t>
      </w:r>
      <w:r w:rsidRPr="00C23FC9">
        <w:t xml:space="preserve"> and retailers believe that the number of people choosing</w:t>
      </w:r>
      <w:r w:rsidRPr="00915CB8">
        <w:t xml:space="preserve"> to give up smoking has been steadily increasing before the introduct</w:t>
      </w:r>
      <w:r>
        <w:t xml:space="preserve">ion of tobacco plain packaging </w:t>
      </w:r>
      <w:r w:rsidRPr="00915CB8">
        <w:t xml:space="preserve">and possibly due to other tobacco control measures such as </w:t>
      </w:r>
      <w:r>
        <w:t>price increases</w:t>
      </w:r>
      <w:r w:rsidRPr="00915CB8">
        <w:t xml:space="preserve"> and educational campaigns designed to inform the community about the health risks of sm</w:t>
      </w:r>
      <w:r>
        <w:t>oking</w:t>
      </w:r>
      <w:r w:rsidR="0060225B">
        <w:t>.</w:t>
      </w:r>
    </w:p>
    <w:p w:rsidR="0087406D" w:rsidRPr="00915CB8" w:rsidRDefault="0087406D" w:rsidP="0087406D">
      <w:pPr>
        <w:spacing w:before="60" w:after="60"/>
      </w:pPr>
      <w:bookmarkStart w:id="111" w:name="_Toc418420321"/>
      <w:bookmarkStart w:id="112" w:name="_Toc418770504"/>
      <w:r>
        <w:t xml:space="preserve">Public health organisation and expert </w:t>
      </w:r>
      <w:r>
        <w:rPr>
          <w:szCs w:val="20"/>
        </w:rPr>
        <w:t>stakeholder/s</w:t>
      </w:r>
      <w:r>
        <w:t xml:space="preserve"> and government department </w:t>
      </w:r>
      <w:r>
        <w:rPr>
          <w:szCs w:val="20"/>
        </w:rPr>
        <w:t>stakeholder/s</w:t>
      </w:r>
      <w:r w:rsidRPr="00915CB8">
        <w:t xml:space="preserve"> were clear that they did not expect </w:t>
      </w:r>
      <w:r>
        <w:t xml:space="preserve">tobacco </w:t>
      </w:r>
      <w:r w:rsidRPr="00915CB8">
        <w:t xml:space="preserve">plain packaging, even alongside broader tobacco control efforts, to have a substantial impact in the first </w:t>
      </w:r>
      <w:r>
        <w:t xml:space="preserve">and second </w:t>
      </w:r>
      <w:r w:rsidRPr="00915CB8">
        <w:t>year on encouraging people to quit smoking</w:t>
      </w:r>
      <w:r>
        <w:t xml:space="preserve"> </w:t>
      </w:r>
      <w:r w:rsidRPr="00915CB8">
        <w:t>and noted that more time will be required to see a</w:t>
      </w:r>
      <w:r>
        <w:t xml:space="preserve"> measurable</w:t>
      </w:r>
      <w:r w:rsidRPr="00915CB8">
        <w:t xml:space="preserve"> impact on outcomes such as a fall in smoking prevalence</w:t>
      </w:r>
      <w:r>
        <w:t>.</w:t>
      </w:r>
      <w:r w:rsidRPr="00915CB8">
        <w:t xml:space="preserve"> Some of these </w:t>
      </w:r>
      <w:r>
        <w:t>stakeholders</w:t>
      </w:r>
      <w:r w:rsidRPr="00915CB8">
        <w:t xml:space="preserve"> did, however, refer to </w:t>
      </w:r>
      <w:r>
        <w:t xml:space="preserve">the </w:t>
      </w:r>
      <w:r w:rsidRPr="00960CA5">
        <w:t>National Drug Strategy Household Survey</w:t>
      </w:r>
      <w:r>
        <w:t xml:space="preserve"> 2013, which was cited as </w:t>
      </w:r>
      <w:r w:rsidR="00FE0748">
        <w:t>showing</w:t>
      </w:r>
      <w:r w:rsidR="00FE0748" w:rsidRPr="00E51DAD">
        <w:t xml:space="preserve"> </w:t>
      </w:r>
      <w:r w:rsidRPr="00E51DAD">
        <w:t>that the prevalence of smoking in Australia fell dramatically between 2010 and 2013 by greater than 15% (</w:t>
      </w:r>
      <w:r w:rsidRPr="00CC7B49">
        <w:t>AIHW, 2014</w:t>
      </w:r>
      <w:r>
        <w:t>)</w:t>
      </w:r>
      <w:r w:rsidRPr="00E51DAD">
        <w:t xml:space="preserve"> which, according to Chapman</w:t>
      </w:r>
      <w:r>
        <w:t xml:space="preserve"> and</w:t>
      </w:r>
      <w:r w:rsidRPr="00E51DAD">
        <w:t xml:space="preserve"> Freeman</w:t>
      </w:r>
      <w:r>
        <w:t xml:space="preserve"> (cited in a </w:t>
      </w:r>
      <w:r w:rsidRPr="00E51DAD">
        <w:t>2014</w:t>
      </w:r>
      <w:r>
        <w:t xml:space="preserve">, </w:t>
      </w:r>
      <w:r w:rsidRPr="00E51DAD">
        <w:t>peer reviewed article</w:t>
      </w:r>
      <w:r w:rsidR="00AF3FE3">
        <w:t>)</w:t>
      </w:r>
      <w:r w:rsidRPr="00E51DAD">
        <w:t xml:space="preserve"> is likely to be attributable to the net and cumulative effects of a range of tobacco control policies</w:t>
      </w:r>
      <w:r w:rsidRPr="00915CB8">
        <w:t xml:space="preserve"> over time</w:t>
      </w:r>
      <w:r>
        <w:t xml:space="preserve"> including tobacco plain packaging.</w:t>
      </w:r>
    </w:p>
    <w:p w:rsidR="00CC7160" w:rsidRDefault="00CC7160" w:rsidP="00CC7160">
      <w:pPr>
        <w:rPr>
          <w:rFonts w:cs="Times New Roman"/>
          <w:bCs/>
          <w:sz w:val="28"/>
          <w:szCs w:val="26"/>
          <w:u w:val="single"/>
        </w:rPr>
      </w:pPr>
      <w:r w:rsidRPr="00915CB8">
        <w:t>Both the tobacco industry</w:t>
      </w:r>
      <w:r w:rsidR="00D65416">
        <w:t xml:space="preserve"> and public health organisation and expert </w:t>
      </w:r>
      <w:r w:rsidR="00D65416">
        <w:rPr>
          <w:szCs w:val="20"/>
        </w:rPr>
        <w:t>stakeholder/s</w:t>
      </w:r>
      <w:r w:rsidRPr="00915CB8">
        <w:t xml:space="preserve"> believe that given the range of factors at play which could impact smoking prevalence, it is very difficult to </w:t>
      </w:r>
      <w:r>
        <w:t xml:space="preserve">isolate </w:t>
      </w:r>
      <w:r w:rsidRPr="00915CB8">
        <w:t xml:space="preserve">the unique contribution </w:t>
      </w:r>
      <w:r>
        <w:t xml:space="preserve">that </w:t>
      </w:r>
      <w:r w:rsidRPr="00915CB8">
        <w:t>the tobacco plain packaging measure</w:t>
      </w:r>
      <w:r>
        <w:t xml:space="preserve"> </w:t>
      </w:r>
      <w:r w:rsidR="00950A1A">
        <w:t>could have</w:t>
      </w:r>
      <w:r>
        <w:t xml:space="preserve"> made</w:t>
      </w:r>
      <w:r w:rsidRPr="00915CB8">
        <w:t xml:space="preserve"> </w:t>
      </w:r>
      <w:r w:rsidRPr="00915CB8">
        <w:lastRenderedPageBreak/>
        <w:t xml:space="preserve">to any </w:t>
      </w:r>
      <w:r>
        <w:t xml:space="preserve">observed </w:t>
      </w:r>
      <w:r w:rsidRPr="00915CB8">
        <w:t xml:space="preserve">decreases in smoking </w:t>
      </w:r>
      <w:bookmarkEnd w:id="111"/>
      <w:bookmarkEnd w:id="112"/>
      <w:r w:rsidRPr="00915CB8">
        <w:t>rates.</w:t>
      </w:r>
      <w:r w:rsidR="004424F9" w:rsidRPr="004424F9">
        <w:t xml:space="preserve"> They did not cite any</w:t>
      </w:r>
      <w:r w:rsidR="0060225B">
        <w:t xml:space="preserve"> sources to support their view.</w:t>
      </w:r>
    </w:p>
    <w:p w:rsidR="00D63A2E" w:rsidRDefault="00D91EE1" w:rsidP="00A4776C">
      <w:pPr>
        <w:pStyle w:val="Heading5"/>
      </w:pPr>
      <w:r w:rsidRPr="00D63A2E">
        <w:t>Reasons</w:t>
      </w:r>
      <w:r w:rsidR="00D63A2E" w:rsidRPr="00D63A2E">
        <w:t xml:space="preserve"> why people give up smoking</w:t>
      </w:r>
    </w:p>
    <w:p w:rsidR="006B234D" w:rsidRPr="00373D35" w:rsidRDefault="00062392" w:rsidP="00915CB8">
      <w:pPr>
        <w:spacing w:before="60" w:after="60"/>
      </w:pPr>
      <w:r>
        <w:t>All groups</w:t>
      </w:r>
      <w:r w:rsidR="00D57C1D">
        <w:t xml:space="preserve"> (who provided, positive, negative and unsure ratings)</w:t>
      </w:r>
      <w:r>
        <w:t xml:space="preserve">, and in particular </w:t>
      </w:r>
      <w:r w:rsidR="008E1F87">
        <w:t>consumers</w:t>
      </w:r>
      <w:r>
        <w:t xml:space="preserve">, </w:t>
      </w:r>
      <w:r w:rsidR="006B234D">
        <w:t>were</w:t>
      </w:r>
      <w:r w:rsidR="006B234D" w:rsidRPr="00373D35">
        <w:t xml:space="preserve"> mindful of, and </w:t>
      </w:r>
      <w:r>
        <w:t>believe</w:t>
      </w:r>
      <w:r w:rsidR="006B234D" w:rsidRPr="00373D35">
        <w:t xml:space="preserve"> that, there are a range of reasons why people </w:t>
      </w:r>
      <w:r w:rsidR="00D63A2E">
        <w:t>are encouraged to give up smoking or stop using t</w:t>
      </w:r>
      <w:r w:rsidR="0060225B">
        <w:t>obacco products. These include:</w:t>
      </w:r>
    </w:p>
    <w:p w:rsidR="006B234D" w:rsidRPr="00373D35" w:rsidRDefault="006B234D" w:rsidP="00EC02D0">
      <w:pPr>
        <w:pStyle w:val="Bullet"/>
        <w:spacing w:before="60" w:after="60"/>
      </w:pPr>
      <w:r>
        <w:t>Price:</w:t>
      </w:r>
      <w:r w:rsidR="00D63A2E">
        <w:t xml:space="preserve"> price</w:t>
      </w:r>
      <w:r>
        <w:t xml:space="preserve"> </w:t>
      </w:r>
      <w:r w:rsidR="00034743">
        <w:t xml:space="preserve">is </w:t>
      </w:r>
      <w:r w:rsidRPr="00373D35">
        <w:t xml:space="preserve">considered </w:t>
      </w:r>
      <w:r>
        <w:t xml:space="preserve">to be </w:t>
      </w:r>
      <w:r w:rsidRPr="00373D35">
        <w:t xml:space="preserve">a major factor which can </w:t>
      </w:r>
      <w:r w:rsidR="00D63A2E">
        <w:t>encourage a person</w:t>
      </w:r>
      <w:r>
        <w:t xml:space="preserve"> to </w:t>
      </w:r>
      <w:r w:rsidR="00D63A2E">
        <w:t xml:space="preserve">give up </w:t>
      </w:r>
      <w:r>
        <w:t>smoking</w:t>
      </w:r>
      <w:r w:rsidR="003D139E">
        <w:t>;</w:t>
      </w:r>
    </w:p>
    <w:p w:rsidR="006B234D" w:rsidRPr="00373D35" w:rsidRDefault="006B234D" w:rsidP="00EC02D0">
      <w:pPr>
        <w:pStyle w:val="Bullet"/>
        <w:spacing w:before="60" w:after="60"/>
      </w:pPr>
      <w:r w:rsidRPr="00373D35">
        <w:t xml:space="preserve">Health: </w:t>
      </w:r>
      <w:r>
        <w:t xml:space="preserve">the negative effects of smoking are well known, and the desire to </w:t>
      </w:r>
      <w:r w:rsidRPr="00373D35">
        <w:t xml:space="preserve">improve </w:t>
      </w:r>
      <w:r>
        <w:t>one’s</w:t>
      </w:r>
      <w:r w:rsidRPr="00373D35">
        <w:t xml:space="preserve"> health</w:t>
      </w:r>
      <w:r>
        <w:t xml:space="preserve"> is a key driver to </w:t>
      </w:r>
      <w:r w:rsidR="00D63A2E">
        <w:t xml:space="preserve">give </w:t>
      </w:r>
      <w:r w:rsidR="00903A3B">
        <w:t xml:space="preserve">up </w:t>
      </w:r>
      <w:r>
        <w:t>smoking</w:t>
      </w:r>
      <w:r w:rsidR="003D139E">
        <w:t>;</w:t>
      </w:r>
    </w:p>
    <w:p w:rsidR="006B234D" w:rsidRPr="00373D35" w:rsidRDefault="006B234D" w:rsidP="00EC02D0">
      <w:pPr>
        <w:pStyle w:val="Bullet"/>
        <w:spacing w:before="60" w:after="60"/>
      </w:pPr>
      <w:r w:rsidRPr="00373D35">
        <w:t>Family and friends: a person’s decision to stop smoking can be heavily influenced by</w:t>
      </w:r>
      <w:r>
        <w:t xml:space="preserve"> pressure from </w:t>
      </w:r>
      <w:r w:rsidRPr="00373D35">
        <w:t>family and friends</w:t>
      </w:r>
      <w:r w:rsidR="003D139E">
        <w:t>;</w:t>
      </w:r>
    </w:p>
    <w:p w:rsidR="006B234D" w:rsidRPr="00373D35" w:rsidRDefault="006B234D" w:rsidP="00EC02D0">
      <w:pPr>
        <w:pStyle w:val="Bullet"/>
        <w:spacing w:before="60" w:after="60"/>
      </w:pPr>
      <w:r w:rsidRPr="00373D35">
        <w:t xml:space="preserve">Other tobacco control measures: many </w:t>
      </w:r>
      <w:r w:rsidR="00BF6EDB">
        <w:t>stakeholders</w:t>
      </w:r>
      <w:r w:rsidRPr="00373D35">
        <w:t xml:space="preserve">, particularly </w:t>
      </w:r>
      <w:r w:rsidR="008E1F87">
        <w:t>consumers</w:t>
      </w:r>
      <w:r w:rsidRPr="00373D35">
        <w:t>, noted that educational campaigns highlighting the risks of smoking</w:t>
      </w:r>
      <w:r>
        <w:t>,</w:t>
      </w:r>
      <w:r w:rsidRPr="00373D35">
        <w:t xml:space="preserve"> and </w:t>
      </w:r>
      <w:r>
        <w:t xml:space="preserve">the creation of </w:t>
      </w:r>
      <w:r w:rsidRPr="00373D35">
        <w:t>smoke-free environments</w:t>
      </w:r>
      <w:r>
        <w:t>,</w:t>
      </w:r>
      <w:r w:rsidR="00D63A2E">
        <w:t xml:space="preserve"> are some of the most</w:t>
      </w:r>
      <w:r w:rsidRPr="00373D35">
        <w:t xml:space="preserve"> effective mechanisms which </w:t>
      </w:r>
      <w:r w:rsidR="00D63A2E">
        <w:t>encourage</w:t>
      </w:r>
      <w:r w:rsidRPr="00373D35">
        <w:t xml:space="preserve"> people to give up smoking</w:t>
      </w:r>
      <w:r w:rsidR="003D139E">
        <w:t>; and</w:t>
      </w:r>
    </w:p>
    <w:p w:rsidR="006B234D" w:rsidRPr="00C927FF" w:rsidRDefault="006B234D" w:rsidP="00EC02D0">
      <w:pPr>
        <w:pStyle w:val="Bullet"/>
        <w:spacing w:before="60" w:after="60"/>
      </w:pPr>
      <w:r w:rsidRPr="00373D35">
        <w:t xml:space="preserve">Ongoing </w:t>
      </w:r>
      <w:r>
        <w:t xml:space="preserve">public </w:t>
      </w:r>
      <w:r w:rsidRPr="00373D35">
        <w:t xml:space="preserve">debate: </w:t>
      </w:r>
      <w:r w:rsidR="00416DF1">
        <w:t xml:space="preserve">tobacco plain packaging </w:t>
      </w:r>
      <w:r w:rsidRPr="00373D35">
        <w:t xml:space="preserve">has </w:t>
      </w:r>
      <w:r>
        <w:t xml:space="preserve">generated </w:t>
      </w:r>
      <w:r w:rsidR="00D63A2E">
        <w:t xml:space="preserve">substantial </w:t>
      </w:r>
      <w:r>
        <w:t>media and public attention,</w:t>
      </w:r>
      <w:r w:rsidRPr="00373D35">
        <w:t xml:space="preserve"> and may have increased awareness of, and/or reiterated the potential health risks associated with smoking and therefore encouraged some </w:t>
      </w:r>
      <w:r w:rsidR="0046388F">
        <w:t xml:space="preserve">people to give up </w:t>
      </w:r>
      <w:r w:rsidR="0046388F" w:rsidRPr="00C927FF">
        <w:t>smoking</w:t>
      </w:r>
      <w:r w:rsidRPr="00C927FF">
        <w:t>.</w:t>
      </w:r>
    </w:p>
    <w:p w:rsidR="00814ACC" w:rsidRDefault="00814ACC" w:rsidP="00915CB8">
      <w:pPr>
        <w:spacing w:before="60" w:after="60"/>
      </w:pPr>
      <w:r>
        <w:t>These stakeholder</w:t>
      </w:r>
      <w:r w:rsidR="00AF3FE3">
        <w:t>s</w:t>
      </w:r>
      <w:r w:rsidRPr="00814ACC">
        <w:t xml:space="preserve"> did not</w:t>
      </w:r>
      <w:r>
        <w:t xml:space="preserve"> cite any sources to support these</w:t>
      </w:r>
      <w:r w:rsidRPr="00814ACC">
        <w:t xml:space="preserve"> view</w:t>
      </w:r>
      <w:r>
        <w:t>s</w:t>
      </w:r>
      <w:r w:rsidRPr="00814ACC">
        <w:t>.</w:t>
      </w:r>
    </w:p>
    <w:p w:rsidR="002E6E8D" w:rsidRDefault="00D65416" w:rsidP="00915CB8">
      <w:pPr>
        <w:spacing w:before="60" w:after="60"/>
      </w:pPr>
      <w:r>
        <w:t xml:space="preserve">Public health organisation and expert </w:t>
      </w:r>
      <w:r>
        <w:rPr>
          <w:szCs w:val="20"/>
        </w:rPr>
        <w:t>stakeholder/s</w:t>
      </w:r>
      <w:r>
        <w:t xml:space="preserve">, government department </w:t>
      </w:r>
      <w:r>
        <w:rPr>
          <w:szCs w:val="20"/>
        </w:rPr>
        <w:t>stakeholder/s</w:t>
      </w:r>
      <w:r>
        <w:t xml:space="preserve"> and health related NGO </w:t>
      </w:r>
      <w:r>
        <w:rPr>
          <w:szCs w:val="20"/>
        </w:rPr>
        <w:t>stakeholder/s</w:t>
      </w:r>
      <w:r w:rsidR="001C553D">
        <w:t xml:space="preserve"> believe that </w:t>
      </w:r>
      <w:r w:rsidR="0046388F">
        <w:t xml:space="preserve">tobacco </w:t>
      </w:r>
      <w:r w:rsidR="001C553D">
        <w:t>plain packaging, in addition to other tobacco control measures and the reasons for quitting listed</w:t>
      </w:r>
      <w:r w:rsidR="00DE5E40">
        <w:t xml:space="preserve"> above</w:t>
      </w:r>
      <w:r w:rsidR="00034743">
        <w:t>,</w:t>
      </w:r>
      <w:r w:rsidR="00DE5E40">
        <w:t xml:space="preserve"> work together to</w:t>
      </w:r>
      <w:r w:rsidR="0060225B">
        <w:t xml:space="preserve"> assist people to stop smoking.</w:t>
      </w:r>
    </w:p>
    <w:p w:rsidR="00C42702" w:rsidRDefault="00DE5E40" w:rsidP="00915CB8">
      <w:pPr>
        <w:spacing w:before="60" w:after="60"/>
      </w:pPr>
      <w:r>
        <w:t xml:space="preserve">In contrast, </w:t>
      </w:r>
      <w:r w:rsidR="0046388F">
        <w:t xml:space="preserve">most of the tobacco industry and most </w:t>
      </w:r>
      <w:r w:rsidR="008E1F87">
        <w:t>consumers</w:t>
      </w:r>
      <w:r w:rsidR="006B234D" w:rsidRPr="00373D35">
        <w:t xml:space="preserve"> </w:t>
      </w:r>
      <w:r w:rsidR="0046388F">
        <w:t xml:space="preserve">who participated in consultations </w:t>
      </w:r>
      <w:r w:rsidR="00062392">
        <w:t>believe</w:t>
      </w:r>
      <w:r w:rsidR="006B234D" w:rsidRPr="00373D35">
        <w:t xml:space="preserve"> that </w:t>
      </w:r>
      <w:r w:rsidR="00903A3B">
        <w:t xml:space="preserve">tobacco </w:t>
      </w:r>
      <w:r w:rsidR="006B234D" w:rsidRPr="00373D35">
        <w:t>packaging plays very little, if any, role in a person’s decision t</w:t>
      </w:r>
      <w:r w:rsidR="006B234D">
        <w:t xml:space="preserve">o stop using tobacco products. </w:t>
      </w:r>
      <w:r w:rsidR="00C42702" w:rsidRPr="00C927FF">
        <w:t xml:space="preserve"> </w:t>
      </w:r>
      <w:r w:rsidR="00814ACC" w:rsidRPr="00814ACC">
        <w:t>They did not cite any sources to support their view.</w:t>
      </w:r>
    </w:p>
    <w:p w:rsidR="00CC7160" w:rsidRDefault="00CC7160" w:rsidP="00CC7160">
      <w:pPr>
        <w:spacing w:before="60" w:after="60"/>
      </w:pPr>
      <w:r>
        <w:t>T</w:t>
      </w:r>
      <w:r w:rsidR="00D65416">
        <w:t xml:space="preserve">hose public health organisation </w:t>
      </w:r>
      <w:r w:rsidR="00D65416">
        <w:rPr>
          <w:szCs w:val="20"/>
        </w:rPr>
        <w:t>stakeholder/s</w:t>
      </w:r>
      <w:r w:rsidR="00D65416">
        <w:t xml:space="preserve">, health related NGO </w:t>
      </w:r>
      <w:r w:rsidR="00D65416">
        <w:rPr>
          <w:szCs w:val="20"/>
        </w:rPr>
        <w:t>stakeholder/s</w:t>
      </w:r>
      <w:r>
        <w:t xml:space="preserve"> and some retailers who were ‘unsure’ whether the measure had an impact as they had not seen clear evidence which links tobacco plain packaging to people giving up smoking, that is, an absence of evidence rather than the presence of evidence that sug</w:t>
      </w:r>
      <w:r w:rsidR="0060225B">
        <w:t>gests there has been no impact.</w:t>
      </w:r>
    </w:p>
    <w:p w:rsidR="007056D4" w:rsidRPr="00C23FAF" w:rsidRDefault="00175D16" w:rsidP="00D06FF2">
      <w:pPr>
        <w:spacing w:before="60" w:after="60"/>
      </w:pPr>
      <w:r>
        <w:t>Table 16</w:t>
      </w:r>
      <w:r w:rsidR="007056D4" w:rsidRPr="00C23FAF">
        <w:t xml:space="preserve"> presents a sample of stakeholder views across groups in order to ill</w:t>
      </w:r>
      <w:r w:rsidR="0060225B">
        <w:t>ustrate the diversity of views.</w:t>
      </w:r>
    </w:p>
    <w:p w:rsidR="007056D4" w:rsidRPr="00BC2BBC" w:rsidRDefault="00175D16" w:rsidP="008937F2">
      <w:pPr>
        <w:pStyle w:val="TblHeading"/>
      </w:pPr>
      <w:proofErr w:type="gramStart"/>
      <w:r>
        <w:t>Table 16</w:t>
      </w:r>
      <w:r w:rsidR="007056D4" w:rsidRPr="00C23FAF">
        <w:t>.</w:t>
      </w:r>
      <w:proofErr w:type="gramEnd"/>
      <w:r w:rsidR="007056D4" w:rsidRPr="00AB1066">
        <w:t xml:space="preserve"> </w:t>
      </w:r>
      <w:r w:rsidR="0060225B">
        <w:t xml:space="preserve">Examples of </w:t>
      </w:r>
      <w:r w:rsidR="0060225B" w:rsidRPr="008937F2">
        <w:t>stakeholder</w:t>
      </w:r>
      <w:r w:rsidR="0060225B">
        <w:t xml:space="preserve"> views</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 xml:space="preserve"> “</w:t>
      </w:r>
      <w:r w:rsidRPr="005D105E">
        <w:t>The impact on prevalence is likely to be so small that you’d have to survey a million people to pick it up, particularly within any short period of time.</w:t>
      </w:r>
      <w:r>
        <w:t xml:space="preserve">” </w:t>
      </w:r>
      <w:r w:rsidRPr="00F461A0">
        <w:t>(Public health organisation/expert)</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w:t>
      </w:r>
      <w:r w:rsidRPr="006D7B3A">
        <w:t>We are not going to have the luxury of seeing the huge quit rates that we may have seen 20 years ago. This is the last, end game around tobacco control. We recognise that those people may have different influences on their reasons for smoking, and we recognise that they may need extra support to quit, so we will welcome with open arms any indication that quit rates are going up.</w:t>
      </w:r>
      <w:r>
        <w:t xml:space="preserve">”  </w:t>
      </w:r>
      <w:r w:rsidRPr="00F461A0">
        <w:t>(Public health organisation/expert)</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 xml:space="preserve">“Some people would have been discouraged by it because they didn’t want to have those packets anymore but at the end of the day it is an addiction which goes a bit further than what the packet looks like.” </w:t>
      </w:r>
      <w:r w:rsidRPr="00F461A0">
        <w:t>(Public health organisation/expert)</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lastRenderedPageBreak/>
        <w:t xml:space="preserve">“It’s very clear in the aim of the Act. </w:t>
      </w:r>
      <w:proofErr w:type="gramStart"/>
      <w:r>
        <w:t>it</w:t>
      </w:r>
      <w:proofErr w:type="gramEnd"/>
      <w:r>
        <w:t xml:space="preserve"> wasn’t to decrease the prevalence of people taking up smoking or using tobacco by itself. It’s very hard to measure that. As part of the broader effort, the policy has a big impact on discouraging people from taking up or using tobacco product, indicated by the marked decrease in the rate of prevalence (12.8%) of smoking. The prevalence is expected to drop. You have to calculate prevalence over the long time-frame, instead of across a short time period. Over the last 2 years post implementation of standardised packaging, we can see that there is a consistent an ongoing trend in the decrease in the prevalence.”  </w:t>
      </w:r>
      <w:r w:rsidRPr="00F461A0">
        <w:t>(Public health organisation/expert)</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w:t>
      </w:r>
      <w:r w:rsidRPr="00686357">
        <w:t xml:space="preserve">I very much go along with what Nicola Roxon said on the day she announced it which was this is mainly about preventing uptake. It was mainly about trying to discourage young people into the future from not taking up smoking. I have always thought that a cessation effect would have been a bonus… not a collateral bonus. </w:t>
      </w:r>
      <w:proofErr w:type="gramStart"/>
      <w:r w:rsidRPr="00686357">
        <w:t>– Somewhat for cessation but great extent for prevention.</w:t>
      </w:r>
      <w:r>
        <w:t>”</w:t>
      </w:r>
      <w:proofErr w:type="gramEnd"/>
      <w:r>
        <w:t xml:space="preserve"> </w:t>
      </w:r>
      <w:r w:rsidRPr="00F461A0">
        <w:t>(Public health organisation/expert)</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 xml:space="preserve"> “</w:t>
      </w:r>
      <w:r w:rsidRPr="001776BC">
        <w:t xml:space="preserve">There is evidence of some increase in smokers seeking assistance to quit following </w:t>
      </w:r>
      <w:r>
        <w:t xml:space="preserve">tobacco plain packaging </w:t>
      </w:r>
      <w:r w:rsidRPr="001776BC">
        <w:t xml:space="preserve">commencement. However the impact of </w:t>
      </w:r>
      <w:r>
        <w:t xml:space="preserve">tobacco plain packaging </w:t>
      </w:r>
      <w:r w:rsidRPr="001776BC">
        <w:t>on quit behaviour cannot be separated from the broader context of smoke-free places legislation, price increases, quit programs and social marketing campaigns.</w:t>
      </w:r>
      <w:r>
        <w:t xml:space="preserve">” </w:t>
      </w:r>
      <w:r w:rsidRPr="00F461A0">
        <w:t>(Government department stakeholder)</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proofErr w:type="gramStart"/>
      <w:r>
        <w:t>“</w:t>
      </w:r>
      <w:r w:rsidRPr="00493919">
        <w:t>When used in combination definitely.</w:t>
      </w:r>
      <w:proofErr w:type="gramEnd"/>
      <w:r w:rsidRPr="00493919">
        <w:t xml:space="preserve"> </w:t>
      </w:r>
      <w:proofErr w:type="gramStart"/>
      <w:r w:rsidRPr="00493919">
        <w:t>Reducing the prevalence of smoking in Australia by increasing quitting and preventing uptake.</w:t>
      </w:r>
      <w:r>
        <w:t>”</w:t>
      </w:r>
      <w:proofErr w:type="gramEnd"/>
      <w:r>
        <w:t xml:space="preserve"> </w:t>
      </w:r>
      <w:r w:rsidRPr="00F461A0">
        <w:t>(Government department stakeholder)</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 xml:space="preserve"> “</w:t>
      </w:r>
      <w:r w:rsidRPr="00CA7845">
        <w:t xml:space="preserve">I have never had a customer say that because of the packaging they have decided to quit.  Any customers who may have indicated they are considering quitting have done so as a general awareness that has come about from health advertising on television </w:t>
      </w:r>
      <w:proofErr w:type="spellStart"/>
      <w:r w:rsidRPr="00CA7845">
        <w:t>etc</w:t>
      </w:r>
      <w:proofErr w:type="spellEnd"/>
      <w:r w:rsidRPr="00CA7845">
        <w:t>; not on the packet itself</w:t>
      </w:r>
      <w:r>
        <w:t>.”(Retailer)</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w:t>
      </w:r>
      <w:r w:rsidRPr="004E7B84">
        <w:t>Consumers are more worried about the price of the tobacco products than the packaging they come in.</w:t>
      </w:r>
      <w:r>
        <w:t xml:space="preserve">” </w:t>
      </w:r>
      <w:r w:rsidRPr="00F461A0">
        <w:t>(Retailer)</w:t>
      </w:r>
    </w:p>
    <w:p w:rsidR="00576EDC" w:rsidRPr="00E86F0F"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 xml:space="preserve">“Tobacco plain packaging </w:t>
      </w:r>
      <w:r w:rsidRPr="004E7B84">
        <w:t xml:space="preserve">doesn’t really promote people to stop smoking… education might do just because there is </w:t>
      </w:r>
      <w:proofErr w:type="gramStart"/>
      <w:r w:rsidRPr="004E7B84">
        <w:t>no brand on the product doesn’t mean they will change their behaviour</w:t>
      </w:r>
      <w:proofErr w:type="gramEnd"/>
      <w:r w:rsidRPr="004E7B84">
        <w:t>.</w:t>
      </w:r>
      <w:r>
        <w:t xml:space="preserve">” </w:t>
      </w:r>
      <w:r w:rsidRPr="00F461A0">
        <w:t>(Retailer)</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63536D">
        <w:t>“Of much more relevance is the analysis of actual tobacco sales data, which shows continual value growth in the tobacco category driven by a significant shift in purchasing habits to cheaper products, as well as the illicit tobacco market, which has reached unprecedented heights in Australia.”</w:t>
      </w:r>
      <w:r>
        <w:t xml:space="preserve"> </w:t>
      </w:r>
      <w:r w:rsidRPr="00F461A0">
        <w:t>(Retailer)</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 xml:space="preserve"> “</w:t>
      </w:r>
      <w:r w:rsidRPr="00414EC0">
        <w:t xml:space="preserve">People will quit if they really want </w:t>
      </w:r>
      <w:proofErr w:type="gramStart"/>
      <w:r w:rsidRPr="00414EC0">
        <w:t>too</w:t>
      </w:r>
      <w:r>
        <w:t>[</w:t>
      </w:r>
      <w:proofErr w:type="gramEnd"/>
      <w:r>
        <w:t>sic]</w:t>
      </w:r>
      <w:r w:rsidRPr="00414EC0">
        <w:t xml:space="preserve">; no </w:t>
      </w:r>
      <w:r>
        <w:t>packaging effect will make them…</w:t>
      </w:r>
      <w:r w:rsidRPr="00414EC0">
        <w:t>.</w:t>
      </w:r>
      <w:r>
        <w:t>”(Consumer)</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w:t>
      </w:r>
      <w:r w:rsidRPr="00414EC0">
        <w:t>giving up is triggered by many issues, financial, health and/or acceptability not by packaging</w:t>
      </w:r>
      <w:r>
        <w:t xml:space="preserve">.” </w:t>
      </w:r>
      <w:r w:rsidRPr="00F461A0">
        <w:t>(Consumer)</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w:t>
      </w:r>
      <w:r w:rsidRPr="00414EC0">
        <w:t xml:space="preserve">Supporters of </w:t>
      </w:r>
      <w:r>
        <w:t xml:space="preserve">tobacco plain packaging </w:t>
      </w:r>
      <w:r w:rsidRPr="00414EC0">
        <w:t xml:space="preserve">believe that </w:t>
      </w:r>
      <w:r>
        <w:t xml:space="preserve">tobacco plain packaging </w:t>
      </w:r>
      <w:r w:rsidRPr="00414EC0">
        <w:t xml:space="preserve">has reduced smoking rates but they are incorrect.  The substantial drop in smoking rates since the introduction of </w:t>
      </w:r>
      <w:r>
        <w:t xml:space="preserve">tobacco plain packaging </w:t>
      </w:r>
      <w:r w:rsidRPr="00414EC0">
        <w:t>is primarily due to the enormous price increases introduced at the same time.</w:t>
      </w:r>
      <w:r>
        <w:t xml:space="preserve">” </w:t>
      </w:r>
      <w:r w:rsidRPr="00F461A0">
        <w:t>(Consumer)</w:t>
      </w:r>
    </w:p>
    <w:p w:rsidR="00576EDC" w:rsidRPr="0063536D"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w:t>
      </w:r>
      <w:r w:rsidRPr="00EF622A">
        <w:t xml:space="preserve">Using </w:t>
      </w:r>
      <w:r>
        <w:t xml:space="preserve">tobacco plain packaging </w:t>
      </w:r>
      <w:r w:rsidRPr="00EF622A">
        <w:t>has no effect on people stopping smoking. You either want to quit or you don't it doesn't matter what the packet looks like.</w:t>
      </w:r>
      <w:r>
        <w:t xml:space="preserve">” </w:t>
      </w:r>
      <w:r w:rsidRPr="00F461A0">
        <w:t>(Consumer)</w:t>
      </w:r>
    </w:p>
    <w:p w:rsidR="00F47C2D" w:rsidRPr="00D83FC6" w:rsidRDefault="00AF0219" w:rsidP="00493DCB">
      <w:pPr>
        <w:pStyle w:val="Heading3"/>
      </w:pPr>
      <w:r w:rsidRPr="00DD4B85">
        <w:br w:type="page"/>
      </w:r>
      <w:bookmarkStart w:id="113" w:name="_Toc418770507"/>
      <w:bookmarkStart w:id="114" w:name="_Toc419889584"/>
      <w:bookmarkStart w:id="115" w:name="_Toc422478390"/>
      <w:bookmarkStart w:id="116" w:name="_Toc426122322"/>
      <w:bookmarkStart w:id="117" w:name="_Toc427306699"/>
      <w:r w:rsidR="009C2B00" w:rsidRPr="00D83FC6">
        <w:lastRenderedPageBreak/>
        <w:t>Discouraging people who have given up smoking, or who have stopped using tobacco products from relapsing</w:t>
      </w:r>
      <w:bookmarkEnd w:id="113"/>
      <w:bookmarkEnd w:id="114"/>
      <w:r w:rsidR="00A628B1">
        <w:t xml:space="preserve"> </w:t>
      </w:r>
      <w:r w:rsidR="00B21859" w:rsidRPr="00AF3FE3">
        <w:t>(section</w:t>
      </w:r>
      <w:r w:rsidR="00A628B1" w:rsidRPr="00AF3FE3">
        <w:t xml:space="preserve"> 3(1</w:t>
      </w:r>
      <w:proofErr w:type="gramStart"/>
      <w:r w:rsidR="00A628B1" w:rsidRPr="00AF3FE3">
        <w:t>)(</w:t>
      </w:r>
      <w:proofErr w:type="gramEnd"/>
      <w:r w:rsidR="00A628B1" w:rsidRPr="00AF3FE3">
        <w:t>a)(iii) of the TPP Act)</w:t>
      </w:r>
      <w:bookmarkEnd w:id="115"/>
      <w:bookmarkEnd w:id="116"/>
      <w:bookmarkEnd w:id="117"/>
    </w:p>
    <w:p w:rsidR="00420222" w:rsidRDefault="00BF6EDB" w:rsidP="00050E6B">
      <w:r>
        <w:t>Stakeholders</w:t>
      </w:r>
      <w:r w:rsidR="008A4A6B" w:rsidRPr="008D52FA">
        <w:t xml:space="preserve"> were asked to </w:t>
      </w:r>
      <w:r w:rsidR="008A4A6B" w:rsidRPr="008A4A6B">
        <w:t>provide ratings and qualitative</w:t>
      </w:r>
      <w:r w:rsidR="008A4A6B">
        <w:t xml:space="preserve"> </w:t>
      </w:r>
      <w:r w:rsidR="00775A76" w:rsidRPr="00237075">
        <w:t>comment on the extent to which they thought that the tobacco</w:t>
      </w:r>
      <w:r w:rsidR="00775A76">
        <w:t xml:space="preserve"> plain packaging </w:t>
      </w:r>
      <w:r w:rsidR="00775A76" w:rsidRPr="00237075">
        <w:t xml:space="preserve">measure, as part of </w:t>
      </w:r>
      <w:r w:rsidR="00481719">
        <w:t xml:space="preserve">a </w:t>
      </w:r>
      <w:r w:rsidR="00775A76" w:rsidRPr="00237075">
        <w:t>broader effort, has discouraged people who have given up smoking, or who have stopped using tobacco products from relapsing</w:t>
      </w:r>
      <w:r w:rsidR="00775A76">
        <w:t xml:space="preserve">. </w:t>
      </w:r>
      <w:r w:rsidR="005A7B6A">
        <w:t>The limitations of this data are</w:t>
      </w:r>
      <w:r w:rsidR="00050E6B">
        <w:t xml:space="preserve"> discussed </w:t>
      </w:r>
      <w:r w:rsidR="00951DE1">
        <w:t>at Section 1.3 of this report.</w:t>
      </w:r>
    </w:p>
    <w:p w:rsidR="001D4FC2" w:rsidRPr="0044799A" w:rsidRDefault="001D4FC2" w:rsidP="001D4FC2">
      <w:pPr>
        <w:pStyle w:val="Heading4"/>
      </w:pPr>
      <w:r w:rsidRPr="0044799A">
        <w:t>Quantitative ratings</w:t>
      </w:r>
    </w:p>
    <w:p w:rsidR="00175D16" w:rsidRPr="00352E39" w:rsidRDefault="00175D16" w:rsidP="00892EB6">
      <w:r w:rsidRPr="00352E39">
        <w:t>T</w:t>
      </w:r>
      <w:r>
        <w:t>able 17</w:t>
      </w:r>
      <w:r w:rsidRPr="00352E39">
        <w:t xml:space="preserve"> presents </w:t>
      </w:r>
      <w:r w:rsidRPr="00D46A69">
        <w:t>posit</w:t>
      </w:r>
      <w:r>
        <w:t xml:space="preserve">ive, negative and unsure </w:t>
      </w:r>
      <w:r w:rsidRPr="00352E39">
        <w:t>ratings</w:t>
      </w:r>
      <w:r>
        <w:t xml:space="preserve"> (and no response)</w:t>
      </w:r>
      <w:r w:rsidRPr="00352E39">
        <w:t xml:space="preserve"> by stakeholder </w:t>
      </w:r>
      <w:r w:rsidRPr="00492735">
        <w:t xml:space="preserve">category </w:t>
      </w:r>
      <w:r w:rsidRPr="00492735">
        <w:rPr>
          <w:rFonts w:cs="Times New Roman"/>
          <w:bCs/>
        </w:rPr>
        <w:t>for those stakeholders who participated in the consultation process using the consultation protocol only</w:t>
      </w:r>
      <w:r w:rsidRPr="00492735">
        <w:t>. This</w:t>
      </w:r>
      <w:r w:rsidRPr="00352E39">
        <w:t xml:space="preserve"> allows the reader to identify the stakeholder groups who gave each type of rating and the distribution of rat</w:t>
      </w:r>
      <w:r w:rsidR="0060225B">
        <w:t>ings across stakeholder groups.</w:t>
      </w:r>
    </w:p>
    <w:p w:rsidR="00175D16" w:rsidRPr="00E12A7B" w:rsidRDefault="00175D16" w:rsidP="00192E2B">
      <w:pPr>
        <w:pStyle w:val="TblHeading"/>
      </w:pPr>
      <w:proofErr w:type="gramStart"/>
      <w:r>
        <w:t>Table 17</w:t>
      </w:r>
      <w:r w:rsidRPr="00E12A7B">
        <w:t>.</w:t>
      </w:r>
      <w:proofErr w:type="gramEnd"/>
      <w:r w:rsidRPr="00E12A7B">
        <w:t xml:space="preserve"> </w:t>
      </w:r>
      <w:r w:rsidR="00031D1D" w:rsidRPr="00E12A7B">
        <w:t xml:space="preserve">Frequency of types of quantitative ratings </w:t>
      </w:r>
      <w:r w:rsidR="00031D1D">
        <w:t>by stakeholders regarding whether the</w:t>
      </w:r>
      <w:r w:rsidR="00031D1D" w:rsidRPr="008D52FA">
        <w:t xml:space="preserve"> tobacco</w:t>
      </w:r>
      <w:r w:rsidR="00031D1D">
        <w:t xml:space="preserve"> plain packaging </w:t>
      </w:r>
      <w:r w:rsidR="00031D1D" w:rsidRPr="008D52FA">
        <w:t>measure</w:t>
      </w:r>
      <w:r w:rsidR="00031D1D">
        <w:t xml:space="preserve"> has discouraged ex-smokers/tobacco users from relapsing, </w:t>
      </w:r>
      <w:r w:rsidRPr="00E12A7B">
        <w:t xml:space="preserve">grouped by stakeholder category (for those stakeholders who participated in the consultation process using the consultation protocol </w:t>
      </w:r>
      <w:r>
        <w:t>only</w:t>
      </w:r>
      <w:r w:rsidR="00031D1D">
        <w:t>)</w:t>
      </w:r>
    </w:p>
    <w:tbl>
      <w:tblPr>
        <w:tblW w:w="4831" w:type="pct"/>
        <w:tblInd w:w="108" w:type="dxa"/>
        <w:tblLayout w:type="fixed"/>
        <w:tblCellMar>
          <w:left w:w="0" w:type="dxa"/>
          <w:right w:w="0" w:type="dxa"/>
        </w:tblCellMar>
        <w:tblLook w:val="04A0" w:firstRow="1" w:lastRow="0" w:firstColumn="1" w:lastColumn="0" w:noHBand="0" w:noVBand="1"/>
        <w:tblDescription w:val="For the various stakeholder groups, table 17 shows the frequency of stakeholder quantitative ratings for whether the measure has discouraged people who have given up smoking, or who have stopped using tobacco products, from relapsing.  It has five columns.  Read across for stakeholder group, positive result (to a great extent or somewhat), negative result (not at all or very little), unsure, and no response provided.  Data is presented in the format n/m where n is the number of stakeholders giving the particular rating and m is the total number of stakeholders in the relevant stakeholder group.  Those stakeholders who did not provide a quantitative rating have been included in the denominator as some did go on to provide qualitative responses."/>
      </w:tblPr>
      <w:tblGrid>
        <w:gridCol w:w="2269"/>
        <w:gridCol w:w="1843"/>
        <w:gridCol w:w="1559"/>
        <w:gridCol w:w="1559"/>
        <w:gridCol w:w="1700"/>
      </w:tblGrid>
      <w:tr w:rsidR="00C4546F" w:rsidRPr="00FE7970" w:rsidTr="00576EDC">
        <w:trPr>
          <w:trHeight w:val="704"/>
          <w:tblHeader/>
        </w:trPr>
        <w:tc>
          <w:tcPr>
            <w:tcW w:w="1270" w:type="pct"/>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hideMark/>
          </w:tcPr>
          <w:p w:rsidR="00C4546F" w:rsidRPr="00FE7970" w:rsidRDefault="00C4546F" w:rsidP="008A4A6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Stakeholder group</w:t>
            </w:r>
          </w:p>
        </w:tc>
        <w:tc>
          <w:tcPr>
            <w:tcW w:w="103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C4546F" w:rsidRPr="00FE7970" w:rsidRDefault="00C4546F" w:rsidP="00E3391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Positive result (to a great extent/ somewhat)</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C4546F" w:rsidRPr="00FE7970" w:rsidRDefault="00C4546F" w:rsidP="00E3391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Negative result (not at all/ very little) </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C4546F" w:rsidRPr="00FE7970" w:rsidRDefault="00C4546F" w:rsidP="008A4A6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Unsure </w:t>
            </w:r>
          </w:p>
        </w:tc>
        <w:tc>
          <w:tcPr>
            <w:tcW w:w="95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C4546F" w:rsidRPr="00FE7970" w:rsidRDefault="00C4546F" w:rsidP="00AF3FE3">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No Response Provided</w:t>
            </w:r>
            <w:r w:rsidR="00AF3FE3">
              <w:rPr>
                <w:rStyle w:val="FootnoteReference"/>
                <w:rFonts w:cs="Times New Roman"/>
                <w:b/>
                <w:bCs/>
                <w:color w:val="000000"/>
                <w:sz w:val="18"/>
                <w:szCs w:val="18"/>
                <w:lang w:eastAsia="en-AU"/>
              </w:rPr>
              <w:footnoteReference w:id="16"/>
            </w:r>
          </w:p>
        </w:tc>
      </w:tr>
      <w:tr w:rsidR="001E4C29" w:rsidRPr="00FE7970" w:rsidTr="007C79C2">
        <w:trPr>
          <w:trHeight w:val="572"/>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E4C29" w:rsidRPr="00FE7970" w:rsidRDefault="001E4C29" w:rsidP="001E4C29">
            <w:pPr>
              <w:spacing w:before="0" w:after="0"/>
              <w:rPr>
                <w:rFonts w:cs="Times New Roman"/>
                <w:color w:val="000000"/>
                <w:sz w:val="18"/>
                <w:szCs w:val="18"/>
                <w:lang w:eastAsia="en-AU"/>
              </w:rPr>
            </w:pPr>
            <w:r w:rsidRPr="00FE7970">
              <w:rPr>
                <w:rFonts w:cs="Times New Roman"/>
                <w:color w:val="000000"/>
                <w:sz w:val="18"/>
                <w:szCs w:val="18"/>
                <w:lang w:eastAsia="en-AU"/>
              </w:rPr>
              <w:t>Public Health Organisations/Experts</w:t>
            </w:r>
          </w:p>
          <w:p w:rsidR="001E4C29" w:rsidRPr="00FE7970" w:rsidRDefault="001E4C29" w:rsidP="001E4C29">
            <w:pPr>
              <w:spacing w:before="0" w:after="0"/>
              <w:rPr>
                <w:rFonts w:cs="Times New Roman"/>
                <w:color w:val="000000"/>
                <w:sz w:val="18"/>
                <w:szCs w:val="18"/>
                <w:lang w:eastAsia="en-AU"/>
              </w:rPr>
            </w:pPr>
            <w:r w:rsidRPr="00FE7970">
              <w:rPr>
                <w:rFonts w:cs="Times New Roman"/>
                <w:color w:val="000000"/>
                <w:sz w:val="18"/>
                <w:szCs w:val="18"/>
                <w:lang w:eastAsia="en-AU"/>
              </w:rPr>
              <w:t>(n=</w:t>
            </w:r>
            <w:r w:rsidR="004B7A40">
              <w:rPr>
                <w:rFonts w:cs="Times New Roman"/>
                <w:color w:val="000000"/>
                <w:sz w:val="18"/>
                <w:szCs w:val="18"/>
                <w:lang w:eastAsia="en-AU"/>
              </w:rPr>
              <w:t>20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12/</w:t>
            </w:r>
            <w:r w:rsidR="004B7A40">
              <w:rPr>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4B7A40" w:rsidP="001E4C29">
            <w:pPr>
              <w:spacing w:line="254" w:lineRule="auto"/>
              <w:jc w:val="center"/>
              <w:rPr>
                <w:color w:val="000000"/>
                <w:sz w:val="18"/>
                <w:szCs w:val="18"/>
                <w:lang w:eastAsia="en-AU"/>
              </w:rPr>
            </w:pPr>
            <w:r>
              <w:rPr>
                <w:color w:val="000000"/>
                <w:sz w:val="18"/>
                <w:szCs w:val="18"/>
                <w:lang w:eastAsia="en-AU"/>
              </w:rPr>
              <w:t>0</w:t>
            </w:r>
            <w:r w:rsidR="001E4C29" w:rsidRPr="000E599C">
              <w:rPr>
                <w:color w:val="000000"/>
                <w:sz w:val="18"/>
                <w:szCs w:val="18"/>
                <w:lang w:eastAsia="en-AU"/>
              </w:rPr>
              <w:t>/</w:t>
            </w:r>
            <w:r>
              <w:rPr>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4/</w:t>
            </w:r>
            <w:r w:rsidR="004B7A40">
              <w:rPr>
                <w:color w:val="000000"/>
                <w:sz w:val="18"/>
                <w:szCs w:val="18"/>
                <w:lang w:eastAsia="en-AU"/>
              </w:rPr>
              <w:t>20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4/</w:t>
            </w:r>
            <w:r w:rsidR="004B7A40">
              <w:rPr>
                <w:color w:val="000000"/>
                <w:sz w:val="18"/>
                <w:szCs w:val="18"/>
                <w:lang w:eastAsia="en-AU"/>
              </w:rPr>
              <w:t>20</w:t>
            </w:r>
          </w:p>
        </w:tc>
      </w:tr>
      <w:tr w:rsidR="001E4C29"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E4C29" w:rsidRPr="00FE7970" w:rsidRDefault="001E4C29" w:rsidP="001E4C29">
            <w:pPr>
              <w:spacing w:before="0" w:after="0"/>
              <w:rPr>
                <w:rFonts w:cs="Times New Roman"/>
                <w:color w:val="000000"/>
                <w:sz w:val="18"/>
                <w:szCs w:val="18"/>
                <w:lang w:eastAsia="en-AU"/>
              </w:rPr>
            </w:pPr>
            <w:r w:rsidRPr="00FE7970">
              <w:rPr>
                <w:rFonts w:cs="Times New Roman"/>
                <w:color w:val="000000"/>
                <w:sz w:val="18"/>
                <w:szCs w:val="18"/>
                <w:lang w:eastAsia="en-AU"/>
              </w:rPr>
              <w:t>Government Departments</w:t>
            </w:r>
          </w:p>
          <w:p w:rsidR="001E4C29" w:rsidRPr="00FE7970" w:rsidRDefault="001E4C29" w:rsidP="001E4C29">
            <w:pPr>
              <w:spacing w:before="0" w:after="0"/>
              <w:rPr>
                <w:rFonts w:cs="Times New Roman"/>
                <w:color w:val="000000"/>
                <w:sz w:val="18"/>
                <w:szCs w:val="18"/>
                <w:lang w:eastAsia="en-AU"/>
              </w:rPr>
            </w:pPr>
            <w:r>
              <w:rPr>
                <w:rFonts w:cs="Times New Roman"/>
                <w:color w:val="000000"/>
                <w:sz w:val="18"/>
                <w:szCs w:val="18"/>
                <w:lang w:eastAsia="en-AU"/>
              </w:rPr>
              <w:t>(n=8</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0</w:t>
            </w:r>
            <w:r w:rsidR="006F06AD">
              <w:rPr>
                <w:color w:val="000000"/>
                <w:sz w:val="18"/>
                <w:szCs w:val="18"/>
                <w:lang w:eastAsia="en-AU"/>
              </w:rPr>
              <w:t>/8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2/8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0</w:t>
            </w:r>
            <w:r w:rsidR="006F06AD">
              <w:rPr>
                <w:color w:val="000000"/>
                <w:sz w:val="18"/>
                <w:szCs w:val="18"/>
                <w:lang w:eastAsia="en-AU"/>
              </w:rPr>
              <w:t>/8</w:t>
            </w:r>
          </w:p>
        </w:tc>
      </w:tr>
      <w:tr w:rsidR="001E4C29" w:rsidRPr="00FE7970" w:rsidTr="007C79C2">
        <w:trPr>
          <w:trHeight w:val="485"/>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E4C29" w:rsidRPr="00FE7970" w:rsidRDefault="001E4C29" w:rsidP="001E4C29">
            <w:pPr>
              <w:spacing w:before="0" w:after="0"/>
              <w:rPr>
                <w:rFonts w:cs="Times New Roman"/>
                <w:color w:val="000000"/>
                <w:sz w:val="18"/>
                <w:szCs w:val="18"/>
                <w:lang w:eastAsia="en-AU"/>
              </w:rPr>
            </w:pPr>
            <w:r w:rsidRPr="00FE7970">
              <w:rPr>
                <w:rFonts w:cs="Times New Roman"/>
                <w:color w:val="000000"/>
                <w:sz w:val="18"/>
                <w:szCs w:val="18"/>
                <w:lang w:eastAsia="en-AU"/>
              </w:rPr>
              <w:t>Non-Government Organisations</w:t>
            </w:r>
          </w:p>
          <w:p w:rsidR="001E4C29" w:rsidRPr="00FE7970" w:rsidRDefault="001E4C29" w:rsidP="001E4C29">
            <w:pPr>
              <w:spacing w:before="0" w:after="0"/>
              <w:rPr>
                <w:rFonts w:cs="Times New Roman"/>
                <w:color w:val="000000"/>
                <w:sz w:val="18"/>
                <w:szCs w:val="18"/>
                <w:lang w:eastAsia="en-AU"/>
              </w:rPr>
            </w:pPr>
            <w:r w:rsidRPr="00FE7970">
              <w:rPr>
                <w:rFonts w:cs="Times New Roman"/>
                <w:color w:val="000000"/>
                <w:sz w:val="18"/>
                <w:szCs w:val="18"/>
                <w:lang w:eastAsia="en-AU"/>
              </w:rPr>
              <w:t>(n=14)</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5/14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5/14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1/14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3/14</w:t>
            </w:r>
          </w:p>
        </w:tc>
      </w:tr>
      <w:tr w:rsidR="00263493"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63493" w:rsidRPr="00FE7970" w:rsidRDefault="00263493" w:rsidP="00263493">
            <w:pPr>
              <w:spacing w:before="0" w:after="0"/>
              <w:rPr>
                <w:rFonts w:cs="Times New Roman"/>
                <w:color w:val="000000"/>
                <w:sz w:val="18"/>
                <w:szCs w:val="18"/>
                <w:lang w:eastAsia="en-AU"/>
              </w:rPr>
            </w:pPr>
            <w:r w:rsidRPr="00FE7970">
              <w:rPr>
                <w:rFonts w:cs="Times New Roman"/>
                <w:color w:val="000000"/>
                <w:sz w:val="18"/>
                <w:szCs w:val="18"/>
                <w:lang w:eastAsia="en-AU"/>
              </w:rPr>
              <w:t>Tobacco Companies</w:t>
            </w:r>
          </w:p>
          <w:p w:rsidR="00263493" w:rsidRPr="00FE7970" w:rsidRDefault="00263493" w:rsidP="00263493">
            <w:pPr>
              <w:spacing w:before="0" w:after="0"/>
              <w:rPr>
                <w:rFonts w:cs="Times New Roman"/>
                <w:color w:val="000000"/>
                <w:sz w:val="18"/>
                <w:szCs w:val="18"/>
                <w:lang w:eastAsia="en-AU"/>
              </w:rPr>
            </w:pPr>
            <w:r>
              <w:rPr>
                <w:rFonts w:cs="Times New Roman"/>
                <w:color w:val="000000"/>
                <w:sz w:val="18"/>
                <w:szCs w:val="18"/>
                <w:lang w:eastAsia="en-AU"/>
              </w:rPr>
              <w:t>(n=3</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263493" w:rsidRPr="00C05D65" w:rsidRDefault="00263493" w:rsidP="00263493">
            <w:pPr>
              <w:spacing w:after="0"/>
              <w:jc w:val="center"/>
              <w:rPr>
                <w:rFonts w:cs="Times New Roman"/>
                <w:color w:val="000000"/>
                <w:sz w:val="18"/>
                <w:szCs w:val="18"/>
                <w:lang w:eastAsia="en-AU"/>
              </w:rPr>
            </w:pPr>
            <w:r>
              <w:rPr>
                <w:rFonts w:cs="Times New Roman"/>
                <w:color w:val="000000"/>
                <w:sz w:val="18"/>
                <w:szCs w:val="18"/>
                <w:lang w:eastAsia="en-AU"/>
              </w:rPr>
              <w:t>0</w:t>
            </w:r>
            <w:r w:rsidR="0091758F">
              <w:rPr>
                <w:rFonts w:cs="Times New Roman"/>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63493" w:rsidRPr="00C05D65" w:rsidRDefault="00263493" w:rsidP="00263493">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63493" w:rsidRPr="00C05D65" w:rsidRDefault="00263493" w:rsidP="00263493">
            <w:pPr>
              <w:spacing w:after="0"/>
              <w:jc w:val="center"/>
              <w:rPr>
                <w:rFonts w:cs="Times New Roman"/>
                <w:color w:val="000000"/>
                <w:sz w:val="18"/>
                <w:szCs w:val="18"/>
                <w:lang w:eastAsia="en-AU"/>
              </w:rPr>
            </w:pPr>
            <w:r>
              <w:rPr>
                <w:rFonts w:cs="Times New Roman"/>
                <w:color w:val="000000"/>
                <w:sz w:val="18"/>
                <w:szCs w:val="18"/>
                <w:lang w:eastAsia="en-AU"/>
              </w:rPr>
              <w:t>0</w:t>
            </w:r>
            <w:r w:rsidR="0091758F">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263493" w:rsidRPr="00C05D65" w:rsidRDefault="00263493" w:rsidP="00263493">
            <w:pPr>
              <w:spacing w:after="0"/>
              <w:jc w:val="center"/>
              <w:rPr>
                <w:rFonts w:cs="Times New Roman"/>
                <w:color w:val="000000"/>
                <w:sz w:val="18"/>
                <w:szCs w:val="18"/>
                <w:lang w:eastAsia="en-AU"/>
              </w:rPr>
            </w:pPr>
            <w:r>
              <w:rPr>
                <w:rFonts w:cs="Times New Roman"/>
                <w:color w:val="000000"/>
                <w:sz w:val="18"/>
                <w:szCs w:val="18"/>
                <w:lang w:eastAsia="en-AU"/>
              </w:rPr>
              <w:t>1/3</w:t>
            </w:r>
          </w:p>
        </w:tc>
      </w:tr>
      <w:tr w:rsidR="001E4C29"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E4C29" w:rsidRPr="00FE7970" w:rsidRDefault="001E4C29" w:rsidP="001E4C29">
            <w:pPr>
              <w:spacing w:before="0" w:after="0"/>
              <w:rPr>
                <w:rFonts w:cs="Times New Roman"/>
                <w:color w:val="000000"/>
                <w:sz w:val="18"/>
                <w:szCs w:val="18"/>
                <w:lang w:eastAsia="en-AU"/>
              </w:rPr>
            </w:pPr>
            <w:r w:rsidRPr="00FE7970">
              <w:rPr>
                <w:rFonts w:cs="Times New Roman"/>
                <w:color w:val="000000"/>
                <w:sz w:val="18"/>
                <w:szCs w:val="18"/>
                <w:lang w:eastAsia="en-AU"/>
              </w:rPr>
              <w:t>Tobacco Wholesalers/</w:t>
            </w:r>
          </w:p>
          <w:p w:rsidR="001E4C29" w:rsidRPr="00FE7970" w:rsidRDefault="001E4C29" w:rsidP="001E4C29">
            <w:pPr>
              <w:spacing w:before="0" w:after="0"/>
              <w:rPr>
                <w:rFonts w:cs="Times New Roman"/>
                <w:color w:val="000000"/>
                <w:sz w:val="18"/>
                <w:szCs w:val="18"/>
                <w:lang w:eastAsia="en-AU"/>
              </w:rPr>
            </w:pPr>
            <w:r w:rsidRPr="00FE7970">
              <w:rPr>
                <w:rFonts w:cs="Times New Roman"/>
                <w:color w:val="000000"/>
                <w:sz w:val="18"/>
                <w:szCs w:val="18"/>
                <w:lang w:eastAsia="en-AU"/>
              </w:rPr>
              <w:t>Importers</w:t>
            </w:r>
          </w:p>
          <w:p w:rsidR="001E4C29" w:rsidRPr="00FE7970" w:rsidRDefault="001E4C29" w:rsidP="001E4C29">
            <w:pPr>
              <w:spacing w:before="0" w:after="0"/>
              <w:rPr>
                <w:rFonts w:cs="Times New Roman"/>
                <w:color w:val="000000"/>
                <w:sz w:val="18"/>
                <w:szCs w:val="18"/>
                <w:lang w:eastAsia="en-AU"/>
              </w:rPr>
            </w:pPr>
            <w:r w:rsidRPr="00FE7970">
              <w:rPr>
                <w:rFonts w:cs="Times New Roman"/>
                <w:color w:val="000000"/>
                <w:sz w:val="18"/>
                <w:szCs w:val="18"/>
                <w:lang w:eastAsia="en-AU"/>
              </w:rPr>
              <w:t>(n=3)</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0</w:t>
            </w:r>
            <w:r w:rsidR="0091758F">
              <w:rPr>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3/3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0</w:t>
            </w:r>
            <w:r w:rsidR="0091758F">
              <w:rPr>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0</w:t>
            </w:r>
            <w:r w:rsidR="0091758F">
              <w:rPr>
                <w:color w:val="000000"/>
                <w:sz w:val="18"/>
                <w:szCs w:val="18"/>
                <w:lang w:eastAsia="en-AU"/>
              </w:rPr>
              <w:t>/3</w:t>
            </w:r>
          </w:p>
        </w:tc>
      </w:tr>
      <w:tr w:rsidR="001E4C29"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E4C29" w:rsidRPr="00FE7970" w:rsidRDefault="001E4C29" w:rsidP="001E4C29">
            <w:pPr>
              <w:spacing w:before="0" w:after="0"/>
              <w:rPr>
                <w:rFonts w:cs="Times New Roman"/>
                <w:color w:val="000000"/>
                <w:sz w:val="18"/>
                <w:szCs w:val="18"/>
                <w:lang w:eastAsia="en-AU"/>
              </w:rPr>
            </w:pPr>
            <w:r w:rsidRPr="00FE7970">
              <w:rPr>
                <w:rFonts w:cs="Times New Roman"/>
                <w:color w:val="000000"/>
                <w:sz w:val="18"/>
                <w:szCs w:val="18"/>
                <w:lang w:eastAsia="en-AU"/>
              </w:rPr>
              <w:t>Tobacco Retailers</w:t>
            </w:r>
          </w:p>
          <w:p w:rsidR="001E4C29" w:rsidRPr="00FE7970" w:rsidRDefault="001E4C29" w:rsidP="001E4C29">
            <w:pPr>
              <w:spacing w:before="0" w:after="0"/>
              <w:rPr>
                <w:rFonts w:cs="Times New Roman"/>
                <w:color w:val="000000"/>
                <w:sz w:val="18"/>
                <w:szCs w:val="18"/>
                <w:lang w:eastAsia="en-AU"/>
              </w:rPr>
            </w:pPr>
            <w:r w:rsidRPr="00FE7970">
              <w:rPr>
                <w:rFonts w:cs="Times New Roman"/>
                <w:color w:val="000000"/>
                <w:sz w:val="18"/>
                <w:szCs w:val="18"/>
                <w:lang w:eastAsia="en-AU"/>
              </w:rPr>
              <w:t>(n=68)</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1/68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56/68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8/68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3/68</w:t>
            </w:r>
          </w:p>
        </w:tc>
      </w:tr>
      <w:tr w:rsidR="001E4C29"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E4C29" w:rsidRPr="00FE7970" w:rsidRDefault="001E4C29" w:rsidP="001E4C29">
            <w:pPr>
              <w:spacing w:before="0" w:after="0"/>
              <w:rPr>
                <w:rFonts w:cs="Times New Roman"/>
                <w:color w:val="000000"/>
                <w:sz w:val="18"/>
                <w:szCs w:val="18"/>
                <w:lang w:eastAsia="en-AU"/>
              </w:rPr>
            </w:pPr>
            <w:r w:rsidRPr="00FE7970">
              <w:rPr>
                <w:rFonts w:cs="Times New Roman"/>
                <w:color w:val="000000"/>
                <w:sz w:val="18"/>
                <w:szCs w:val="18"/>
                <w:lang w:eastAsia="en-AU"/>
              </w:rPr>
              <w:t>Consumers</w:t>
            </w:r>
          </w:p>
          <w:p w:rsidR="001E4C29" w:rsidRPr="00FE7970" w:rsidRDefault="001E4C29" w:rsidP="001E4C29">
            <w:pPr>
              <w:spacing w:before="0" w:after="0"/>
              <w:rPr>
                <w:rFonts w:cs="Times New Roman"/>
                <w:color w:val="000000"/>
                <w:sz w:val="18"/>
                <w:szCs w:val="18"/>
                <w:lang w:eastAsia="en-AU"/>
              </w:rPr>
            </w:pPr>
            <w:r w:rsidRPr="00FE7970">
              <w:rPr>
                <w:rFonts w:cs="Times New Roman"/>
                <w:color w:val="000000"/>
                <w:sz w:val="18"/>
                <w:szCs w:val="18"/>
                <w:lang w:eastAsia="en-AU"/>
              </w:rPr>
              <w:t>(n=412)</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15/412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334/412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34/412</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29/412</w:t>
            </w:r>
          </w:p>
        </w:tc>
      </w:tr>
      <w:tr w:rsidR="001E4C29"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E4C29" w:rsidRPr="00FE7970" w:rsidRDefault="001E4C29" w:rsidP="001E4C29">
            <w:pPr>
              <w:spacing w:before="0" w:after="0"/>
              <w:rPr>
                <w:rFonts w:cs="Times New Roman"/>
                <w:color w:val="000000"/>
                <w:sz w:val="18"/>
                <w:szCs w:val="18"/>
                <w:lang w:eastAsia="en-AU"/>
              </w:rPr>
            </w:pPr>
            <w:r w:rsidRPr="00FE7970">
              <w:rPr>
                <w:rFonts w:cs="Times New Roman"/>
                <w:color w:val="000000"/>
                <w:sz w:val="18"/>
                <w:szCs w:val="18"/>
                <w:lang w:eastAsia="en-AU"/>
              </w:rPr>
              <w:t>Other</w:t>
            </w:r>
          </w:p>
          <w:p w:rsidR="001E4C29" w:rsidRPr="00FE7970" w:rsidRDefault="001E4C29" w:rsidP="001E4C29">
            <w:pPr>
              <w:spacing w:before="0" w:after="0"/>
              <w:rPr>
                <w:rFonts w:cs="Times New Roman"/>
                <w:color w:val="000000"/>
                <w:sz w:val="18"/>
                <w:szCs w:val="18"/>
                <w:lang w:eastAsia="en-AU"/>
              </w:rPr>
            </w:pPr>
            <w:r w:rsidRPr="00FE7970">
              <w:rPr>
                <w:rFonts w:cs="Times New Roman"/>
                <w:color w:val="000000"/>
                <w:sz w:val="18"/>
                <w:szCs w:val="18"/>
                <w:lang w:eastAsia="en-AU"/>
              </w:rPr>
              <w:t>(n=</w:t>
            </w:r>
            <w:r w:rsidR="004B7A40">
              <w:rPr>
                <w:rFonts w:cs="Times New Roman"/>
                <w:color w:val="000000"/>
                <w:sz w:val="18"/>
                <w:szCs w:val="18"/>
                <w:lang w:eastAsia="en-AU"/>
              </w:rPr>
              <w:t>14</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1/</w:t>
            </w:r>
            <w:r w:rsidR="004B7A40">
              <w:rPr>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4B7A40" w:rsidP="001E4C29">
            <w:pPr>
              <w:spacing w:line="254" w:lineRule="auto"/>
              <w:jc w:val="center"/>
              <w:rPr>
                <w:color w:val="000000"/>
                <w:sz w:val="18"/>
                <w:szCs w:val="18"/>
                <w:lang w:eastAsia="en-AU"/>
              </w:rPr>
            </w:pPr>
            <w:r>
              <w:rPr>
                <w:color w:val="000000"/>
                <w:sz w:val="18"/>
                <w:szCs w:val="18"/>
                <w:lang w:eastAsia="en-AU"/>
              </w:rPr>
              <w:t>10</w:t>
            </w:r>
            <w:r w:rsidR="001E4C29" w:rsidRPr="000E599C">
              <w:rPr>
                <w:color w:val="000000"/>
                <w:sz w:val="18"/>
                <w:szCs w:val="18"/>
                <w:lang w:eastAsia="en-AU"/>
              </w:rPr>
              <w:t>/</w:t>
            </w:r>
            <w:r>
              <w:rPr>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2/</w:t>
            </w:r>
            <w:r w:rsidR="004B7A40">
              <w:rPr>
                <w:color w:val="000000"/>
                <w:sz w:val="18"/>
                <w:szCs w:val="18"/>
                <w:lang w:eastAsia="en-AU"/>
              </w:rPr>
              <w:t>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1/</w:t>
            </w:r>
            <w:r w:rsidR="004B7A40">
              <w:rPr>
                <w:color w:val="000000"/>
                <w:sz w:val="18"/>
                <w:szCs w:val="18"/>
                <w:lang w:eastAsia="en-AU"/>
              </w:rPr>
              <w:t>14</w:t>
            </w:r>
          </w:p>
        </w:tc>
      </w:tr>
      <w:tr w:rsidR="001E4C29" w:rsidRPr="00FE7970" w:rsidTr="007C79C2">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E4C29" w:rsidRPr="00FE7970" w:rsidRDefault="001E4C29" w:rsidP="001E4C29">
            <w:pPr>
              <w:spacing w:before="0" w:after="0"/>
              <w:rPr>
                <w:rFonts w:cs="Times New Roman"/>
                <w:color w:val="000000"/>
                <w:sz w:val="18"/>
                <w:szCs w:val="18"/>
                <w:lang w:eastAsia="en-AU"/>
              </w:rPr>
            </w:pPr>
            <w:r w:rsidRPr="00FE7970">
              <w:rPr>
                <w:rFonts w:cs="Times New Roman"/>
                <w:color w:val="000000"/>
                <w:sz w:val="18"/>
                <w:szCs w:val="18"/>
                <w:lang w:eastAsia="en-AU"/>
              </w:rPr>
              <w:t>Unspecified</w:t>
            </w:r>
          </w:p>
          <w:p w:rsidR="001E4C29" w:rsidRPr="00FE7970" w:rsidRDefault="001E4C29" w:rsidP="001E4C29">
            <w:pPr>
              <w:spacing w:before="0" w:after="0"/>
              <w:rPr>
                <w:rFonts w:cs="Times New Roman"/>
                <w:color w:val="000000"/>
                <w:sz w:val="18"/>
                <w:szCs w:val="18"/>
                <w:lang w:eastAsia="en-AU"/>
              </w:rPr>
            </w:pPr>
            <w:r>
              <w:rPr>
                <w:rFonts w:cs="Times New Roman"/>
                <w:color w:val="000000"/>
                <w:sz w:val="18"/>
                <w:szCs w:val="18"/>
                <w:lang w:eastAsia="en-AU"/>
              </w:rPr>
              <w:t>(n= 10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0</w:t>
            </w:r>
            <w:r w:rsidR="002A16A7">
              <w:rPr>
                <w:color w:val="000000"/>
                <w:sz w:val="18"/>
                <w:szCs w:val="18"/>
                <w:lang w:eastAsia="en-AU"/>
              </w:rPr>
              <w:t>/10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7/10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Pr>
                <w:color w:val="000000"/>
                <w:sz w:val="18"/>
                <w:szCs w:val="18"/>
                <w:lang w:eastAsia="en-AU"/>
              </w:rPr>
              <w:t>1</w:t>
            </w:r>
            <w:r w:rsidRPr="000E599C">
              <w:rPr>
                <w:color w:val="000000"/>
                <w:sz w:val="18"/>
                <w:szCs w:val="18"/>
                <w:lang w:eastAsia="en-AU"/>
              </w:rPr>
              <w:t>/10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1E4C29" w:rsidRPr="000E599C" w:rsidRDefault="001E4C29" w:rsidP="001E4C29">
            <w:pPr>
              <w:spacing w:line="254" w:lineRule="auto"/>
              <w:jc w:val="center"/>
              <w:rPr>
                <w:color w:val="000000"/>
                <w:sz w:val="18"/>
                <w:szCs w:val="18"/>
                <w:lang w:eastAsia="en-AU"/>
              </w:rPr>
            </w:pPr>
            <w:r w:rsidRPr="000E599C">
              <w:rPr>
                <w:color w:val="000000"/>
                <w:sz w:val="18"/>
                <w:szCs w:val="18"/>
                <w:lang w:eastAsia="en-AU"/>
              </w:rPr>
              <w:t>2/10</w:t>
            </w:r>
          </w:p>
        </w:tc>
      </w:tr>
    </w:tbl>
    <w:p w:rsidR="00533407" w:rsidRDefault="00533407" w:rsidP="00533407">
      <w:pPr>
        <w:pStyle w:val="Heading4"/>
      </w:pPr>
      <w:r w:rsidRPr="0044799A">
        <w:t xml:space="preserve">Qualitative </w:t>
      </w:r>
      <w:r w:rsidR="0060225B">
        <w:t>responses</w:t>
      </w:r>
    </w:p>
    <w:p w:rsidR="00FE28CF" w:rsidRPr="008D3757" w:rsidRDefault="00FE28CF" w:rsidP="00EC02D0">
      <w:pPr>
        <w:pStyle w:val="Bullet"/>
        <w:numPr>
          <w:ilvl w:val="0"/>
          <w:numId w:val="0"/>
        </w:numPr>
      </w:pPr>
      <w:r>
        <w:t>Qualitative responses (those that aligned with the consultation protocol and those that did not align with the consultation protocol) from all organisations and individual stakeholders were</w:t>
      </w:r>
      <w:r w:rsidRPr="0044799A">
        <w:t xml:space="preserve"> analysed and then </w:t>
      </w:r>
      <w:r>
        <w:t xml:space="preserve">presented below </w:t>
      </w:r>
      <w:r w:rsidRPr="008D3757">
        <w:t>according to</w:t>
      </w:r>
      <w:r>
        <w:t xml:space="preserve"> themes. </w:t>
      </w:r>
      <w:r w:rsidRPr="008D3757">
        <w:t>These themes include:</w:t>
      </w:r>
    </w:p>
    <w:p w:rsidR="00420222" w:rsidRDefault="003D139E" w:rsidP="00EC02D0">
      <w:pPr>
        <w:pStyle w:val="Bullet"/>
        <w:spacing w:before="60" w:after="60"/>
      </w:pPr>
      <w:r>
        <w:t>R</w:t>
      </w:r>
      <w:r w:rsidR="00420222">
        <w:t>educing</w:t>
      </w:r>
      <w:r w:rsidR="00420222" w:rsidRPr="005916FB">
        <w:t xml:space="preserve"> </w:t>
      </w:r>
      <w:r w:rsidR="00420222">
        <w:t>environmental cues to smoke</w:t>
      </w:r>
      <w:r>
        <w:t>; and</w:t>
      </w:r>
    </w:p>
    <w:p w:rsidR="00420222" w:rsidRPr="00F319CA" w:rsidRDefault="003D139E" w:rsidP="00EC02D0">
      <w:pPr>
        <w:pStyle w:val="Bullet"/>
        <w:spacing w:before="60" w:after="60"/>
      </w:pPr>
      <w:r>
        <w:t>D</w:t>
      </w:r>
      <w:r w:rsidR="00420222" w:rsidRPr="003E3E92">
        <w:t>iscouraging people from relapsing</w:t>
      </w:r>
      <w:r w:rsidR="00420222">
        <w:t>.</w:t>
      </w:r>
    </w:p>
    <w:p w:rsidR="00775A76" w:rsidRDefault="00775A76" w:rsidP="00A4776C">
      <w:pPr>
        <w:pStyle w:val="Heading5"/>
      </w:pPr>
      <w:bookmarkStart w:id="118" w:name="_Toc418420328"/>
      <w:bookmarkStart w:id="119" w:name="_Toc419889587"/>
      <w:bookmarkStart w:id="120" w:name="_Toc418420324"/>
      <w:bookmarkStart w:id="121" w:name="_Toc418770508"/>
      <w:bookmarkStart w:id="122" w:name="_Toc419889585"/>
      <w:r>
        <w:lastRenderedPageBreak/>
        <w:t>Reducing</w:t>
      </w:r>
      <w:r w:rsidRPr="005916FB">
        <w:t xml:space="preserve"> environmental cues to smoke</w:t>
      </w:r>
    </w:p>
    <w:p w:rsidR="00775A76" w:rsidRDefault="00D65416" w:rsidP="00775A76">
      <w:pPr>
        <w:rPr>
          <w:lang w:eastAsia="en-AU"/>
        </w:rPr>
      </w:pPr>
      <w:r>
        <w:t xml:space="preserve">Public health organisation and expert </w:t>
      </w:r>
      <w:r>
        <w:rPr>
          <w:szCs w:val="20"/>
        </w:rPr>
        <w:t>stakeholder/s</w:t>
      </w:r>
      <w:r w:rsidR="00775A76" w:rsidRPr="0032191F">
        <w:t xml:space="preserve"> (including those who work in smok</w:t>
      </w:r>
      <w:r w:rsidR="00775A76">
        <w:t>ing cessation</w:t>
      </w:r>
      <w:r>
        <w:t xml:space="preserve">), government department </w:t>
      </w:r>
      <w:r>
        <w:rPr>
          <w:szCs w:val="20"/>
        </w:rPr>
        <w:t>stakeholder/s</w:t>
      </w:r>
      <w:r w:rsidR="00775A76" w:rsidRPr="0032191F">
        <w:t xml:space="preserve">, </w:t>
      </w:r>
      <w:r w:rsidR="00775A76">
        <w:t xml:space="preserve">health related </w:t>
      </w:r>
      <w:r>
        <w:t xml:space="preserve">NGO </w:t>
      </w:r>
      <w:r>
        <w:rPr>
          <w:szCs w:val="20"/>
        </w:rPr>
        <w:t>stakeholder/s</w:t>
      </w:r>
      <w:r w:rsidR="00775A76" w:rsidRPr="0032191F">
        <w:t xml:space="preserve"> and </w:t>
      </w:r>
      <w:r w:rsidR="00775A76">
        <w:t xml:space="preserve">a small number of </w:t>
      </w:r>
      <w:r w:rsidR="008E1F87">
        <w:t>consumers</w:t>
      </w:r>
      <w:r w:rsidR="00775A76" w:rsidRPr="0032191F">
        <w:t xml:space="preserve"> </w:t>
      </w:r>
      <w:r w:rsidR="00B277E8">
        <w:t xml:space="preserve">who provided a positive rating </w:t>
      </w:r>
      <w:r w:rsidR="00775A76">
        <w:t xml:space="preserve">believe </w:t>
      </w:r>
      <w:r w:rsidR="00775A76" w:rsidRPr="00DD53CB">
        <w:t>that the removal of branding</w:t>
      </w:r>
      <w:r w:rsidR="00775A76">
        <w:t xml:space="preserve"> elements</w:t>
      </w:r>
      <w:r w:rsidR="00775A76" w:rsidRPr="00DD53CB">
        <w:t xml:space="preserve"> from tobacco packaging has potentially taken away one of the environmental cues to smoke and as such may be an effective way to </w:t>
      </w:r>
      <w:r w:rsidR="00775A76">
        <w:t xml:space="preserve">discourage ex-smokers from relapsing. </w:t>
      </w:r>
      <w:r w:rsidR="00775A76" w:rsidRPr="00DD53CB">
        <w:t xml:space="preserve">This group </w:t>
      </w:r>
      <w:r w:rsidR="00775A76">
        <w:t xml:space="preserve">of </w:t>
      </w:r>
      <w:r w:rsidR="00B277E8">
        <w:t>stakeholders</w:t>
      </w:r>
      <w:r w:rsidR="00775A76">
        <w:t xml:space="preserve"> </w:t>
      </w:r>
      <w:r w:rsidR="00775A76" w:rsidRPr="00DD53CB">
        <w:t xml:space="preserve">also </w:t>
      </w:r>
      <w:r w:rsidR="00775A76">
        <w:t>believe</w:t>
      </w:r>
      <w:r w:rsidR="00775A76" w:rsidRPr="00DD53CB">
        <w:t xml:space="preserve"> that </w:t>
      </w:r>
      <w:r w:rsidR="00775A76">
        <w:t>other tobacco control measures</w:t>
      </w:r>
      <w:r w:rsidR="00775A76" w:rsidRPr="00DD53CB">
        <w:rPr>
          <w:lang w:eastAsia="en-AU"/>
        </w:rPr>
        <w:t xml:space="preserve">, like retail display bans and </w:t>
      </w:r>
      <w:r w:rsidR="00775A76">
        <w:rPr>
          <w:lang w:eastAsia="en-AU"/>
        </w:rPr>
        <w:t xml:space="preserve">reducing </w:t>
      </w:r>
      <w:r w:rsidR="00775A76" w:rsidRPr="00DD53CB">
        <w:rPr>
          <w:lang w:eastAsia="en-AU"/>
        </w:rPr>
        <w:t xml:space="preserve">designated outdoor smoking areas in pubs and clubs, are keeping smokers further away from </w:t>
      </w:r>
      <w:r w:rsidR="00775A76">
        <w:rPr>
          <w:lang w:eastAsia="en-AU"/>
        </w:rPr>
        <w:t xml:space="preserve">current </w:t>
      </w:r>
      <w:r w:rsidR="00775A76" w:rsidRPr="00DD53CB">
        <w:rPr>
          <w:lang w:eastAsia="en-AU"/>
        </w:rPr>
        <w:t xml:space="preserve">non-smokers, </w:t>
      </w:r>
      <w:r w:rsidR="00775A76">
        <w:rPr>
          <w:lang w:eastAsia="en-AU"/>
        </w:rPr>
        <w:t xml:space="preserve">and </w:t>
      </w:r>
      <w:r w:rsidR="00377C20">
        <w:rPr>
          <w:lang w:eastAsia="en-AU"/>
        </w:rPr>
        <w:t xml:space="preserve">are </w:t>
      </w:r>
      <w:r w:rsidR="00775A76">
        <w:rPr>
          <w:lang w:eastAsia="en-AU"/>
        </w:rPr>
        <w:t>therefore reducing potential triggers and environmental/social cues</w:t>
      </w:r>
      <w:r w:rsidR="00775A76" w:rsidRPr="00DD53CB">
        <w:rPr>
          <w:lang w:eastAsia="en-AU"/>
        </w:rPr>
        <w:t xml:space="preserve"> </w:t>
      </w:r>
      <w:r w:rsidR="00775A76">
        <w:rPr>
          <w:lang w:eastAsia="en-AU"/>
        </w:rPr>
        <w:t>to smoke</w:t>
      </w:r>
      <w:r w:rsidR="00775A76" w:rsidRPr="00DD53CB">
        <w:rPr>
          <w:lang w:eastAsia="en-AU"/>
        </w:rPr>
        <w:t xml:space="preserve">. </w:t>
      </w:r>
      <w:r w:rsidR="00775A76">
        <w:t xml:space="preserve">Again, these </w:t>
      </w:r>
      <w:r w:rsidR="00B277E8">
        <w:t>stakeholders</w:t>
      </w:r>
      <w:r w:rsidR="00775A76">
        <w:t xml:space="preserve"> acknowledged that tobacco plain packaging is an important measure among a range of strategies (such as </w:t>
      </w:r>
      <w:r w:rsidR="00775A76" w:rsidRPr="00965221">
        <w:t xml:space="preserve">restrictions on </w:t>
      </w:r>
      <w:r w:rsidR="00775A76">
        <w:t xml:space="preserve">tobacco </w:t>
      </w:r>
      <w:r w:rsidR="00775A76" w:rsidRPr="00965221">
        <w:t>sales, promotion and advertising and smoking cessation support services</w:t>
      </w:r>
      <w:r w:rsidR="00775A76">
        <w:t xml:space="preserve">) which are designed to encourage people to stop smoking and to </w:t>
      </w:r>
      <w:r w:rsidR="00775A76" w:rsidRPr="00CA10DF">
        <w:t>discourage pe</w:t>
      </w:r>
      <w:r w:rsidR="00775A76">
        <w:t>ople who have given up smoking</w:t>
      </w:r>
      <w:r w:rsidR="00775A76" w:rsidRPr="00CA10DF">
        <w:t xml:space="preserve"> from relapsing</w:t>
      </w:r>
      <w:r w:rsidR="00775A76">
        <w:t xml:space="preserve">. </w:t>
      </w:r>
      <w:bookmarkEnd w:id="118"/>
      <w:r w:rsidR="00814ACC">
        <w:t>These stakeholders</w:t>
      </w:r>
      <w:r w:rsidR="00814ACC" w:rsidRPr="00814ACC">
        <w:t xml:space="preserve"> did not cite any sources to support their view.</w:t>
      </w:r>
    </w:p>
    <w:bookmarkEnd w:id="119"/>
    <w:p w:rsidR="00775A76" w:rsidRDefault="00775A76" w:rsidP="00A4776C">
      <w:pPr>
        <w:pStyle w:val="Heading5"/>
      </w:pPr>
      <w:r w:rsidRPr="001E38DF">
        <w:t>Discouraging people from relapsing</w:t>
      </w:r>
    </w:p>
    <w:p w:rsidR="00775A76" w:rsidRPr="0055395E" w:rsidRDefault="00D65416" w:rsidP="00775A76">
      <w:pPr>
        <w:rPr>
          <w:rFonts w:cs="Times New Roman"/>
          <w:bCs/>
          <w:sz w:val="28"/>
          <w:szCs w:val="26"/>
          <w:u w:val="single"/>
        </w:rPr>
      </w:pPr>
      <w:r>
        <w:t xml:space="preserve">Some public health organisation </w:t>
      </w:r>
      <w:r>
        <w:rPr>
          <w:szCs w:val="20"/>
        </w:rPr>
        <w:t>stakeholder/s</w:t>
      </w:r>
      <w:r>
        <w:t xml:space="preserve"> and government department </w:t>
      </w:r>
      <w:r>
        <w:rPr>
          <w:szCs w:val="20"/>
        </w:rPr>
        <w:t>stakeholder/s</w:t>
      </w:r>
      <w:r w:rsidR="00775A76">
        <w:t xml:space="preserve"> referred to </w:t>
      </w:r>
      <w:r w:rsidR="00814ACC">
        <w:t xml:space="preserve">the following </w:t>
      </w:r>
      <w:r w:rsidR="00775A76">
        <w:t>evidence which suggests that ex-smokers who actively use tobacco packaging to discourage relapse are less likely to relapse. These include:</w:t>
      </w:r>
    </w:p>
    <w:p w:rsidR="00AF3FE3" w:rsidRDefault="00AF3FE3" w:rsidP="00EC02D0">
      <w:pPr>
        <w:pStyle w:val="Bullet"/>
      </w:pPr>
      <w:proofErr w:type="spellStart"/>
      <w:r>
        <w:t>Partos</w:t>
      </w:r>
      <w:proofErr w:type="spellEnd"/>
      <w:r>
        <w:t xml:space="preserve"> et al, 2013, a peer reviewed article, which was cited as </w:t>
      </w:r>
      <w:r w:rsidR="00FE0748">
        <w:t>showing</w:t>
      </w:r>
      <w:r>
        <w:t xml:space="preserve"> that in the</w:t>
      </w:r>
      <w:r w:rsidRPr="002137EE">
        <w:t xml:space="preserve"> first longitudinal evidence that health warnings can help ex-smoker</w:t>
      </w:r>
      <w:r>
        <w:t>s not to relapse</w:t>
      </w:r>
      <w:r w:rsidRPr="002137EE">
        <w:t xml:space="preserve">. </w:t>
      </w:r>
      <w:r>
        <w:t>While this study related</w:t>
      </w:r>
      <w:r w:rsidRPr="002137EE">
        <w:t xml:space="preserve"> to health warnings and relapse</w:t>
      </w:r>
      <w:r>
        <w:t xml:space="preserve">, </w:t>
      </w:r>
      <w:r w:rsidRPr="002137EE">
        <w:t xml:space="preserve">public health advocates argue that because </w:t>
      </w:r>
      <w:r>
        <w:t xml:space="preserve">tobacco plain packaging </w:t>
      </w:r>
      <w:r w:rsidRPr="002137EE">
        <w:t xml:space="preserve">reduces the appeal of tobacco </w:t>
      </w:r>
      <w:r w:rsidRPr="008F3E30">
        <w:t xml:space="preserve">packaging and increases the salience of health warnings, together this may work to </w:t>
      </w:r>
      <w:r>
        <w:t>help discourage</w:t>
      </w:r>
      <w:r w:rsidRPr="008F3E30">
        <w:t xml:space="preserve"> relapse</w:t>
      </w:r>
      <w:r>
        <w:t>)</w:t>
      </w:r>
      <w:r w:rsidR="003D139E">
        <w:t>; and</w:t>
      </w:r>
    </w:p>
    <w:p w:rsidR="00AF3FE3" w:rsidRPr="004E1D18" w:rsidRDefault="00AF3FE3" w:rsidP="00EC02D0">
      <w:pPr>
        <w:pStyle w:val="Bullet"/>
        <w:rPr>
          <w:szCs w:val="24"/>
        </w:rPr>
      </w:pPr>
      <w:r>
        <w:t xml:space="preserve">Dunlop et al, 2015, unpublished study accepted as an abstract for the Behavioural Research in Cancer Control Conference, which was cited as </w:t>
      </w:r>
      <w:r w:rsidR="00FE0748">
        <w:t>showing</w:t>
      </w:r>
      <w:r>
        <w:t xml:space="preserve"> that </w:t>
      </w:r>
      <w:r w:rsidRPr="00372099">
        <w:t>18% of ex-smokers said</w:t>
      </w:r>
      <w:r>
        <w:t xml:space="preserve"> that tobacco</w:t>
      </w:r>
      <w:r w:rsidRPr="00372099">
        <w:t xml:space="preserve"> plain packaging</w:t>
      </w:r>
      <w:r>
        <w:t xml:space="preserve"> made them less likely </w:t>
      </w:r>
      <w:r w:rsidRPr="004E1D18">
        <w:rPr>
          <w:szCs w:val="24"/>
        </w:rPr>
        <w:t>to smoke</w:t>
      </w:r>
      <w:r w:rsidR="003D139E">
        <w:rPr>
          <w:szCs w:val="24"/>
        </w:rPr>
        <w:t>.</w:t>
      </w:r>
    </w:p>
    <w:p w:rsidR="00775A76" w:rsidRDefault="00775A76" w:rsidP="00775A76">
      <w:r>
        <w:t>Consistent with these fi</w:t>
      </w:r>
      <w:r w:rsidR="00485FD7">
        <w:t xml:space="preserve">ndings, public health advocates, </w:t>
      </w:r>
      <w:r w:rsidR="008E1F87">
        <w:t>consumers</w:t>
      </w:r>
      <w:r w:rsidR="00485FD7">
        <w:t xml:space="preserve"> and one stakeholder from the ‘other’ category</w:t>
      </w:r>
      <w:r>
        <w:t xml:space="preserve"> </w:t>
      </w:r>
      <w:r w:rsidR="00485FD7">
        <w:t xml:space="preserve">who provided a positive rating </w:t>
      </w:r>
      <w:r>
        <w:t xml:space="preserve">cited instances where people they know have used tobacco plain packaging as a tool to help reinforce or validate their decision to give up smoking. They recognised that tobacco plain packaging and </w:t>
      </w:r>
      <w:r w:rsidR="00BE2397">
        <w:t>GHWs</w:t>
      </w:r>
      <w:r>
        <w:t xml:space="preserve"> work together to reinforce the negative health ef</w:t>
      </w:r>
      <w:r w:rsidR="0060225B">
        <w:t>fects of smoking to ex-smokers.</w:t>
      </w:r>
    </w:p>
    <w:p w:rsidR="00A133A5" w:rsidRDefault="00775A76" w:rsidP="00775A76">
      <w:r>
        <w:t>O</w:t>
      </w:r>
      <w:r w:rsidRPr="000E41FB">
        <w:t xml:space="preserve">ne retailer </w:t>
      </w:r>
      <w:r w:rsidR="00B277E8">
        <w:t xml:space="preserve">who provided a positive rating </w:t>
      </w:r>
      <w:r w:rsidRPr="000E41FB">
        <w:t>believes that the measure has had a significant impact on discouraging people from relapsing</w:t>
      </w:r>
      <w:r w:rsidR="00A75FD3">
        <w:t>,</w:t>
      </w:r>
      <w:r w:rsidRPr="000E41FB">
        <w:t xml:space="preserve"> report</w:t>
      </w:r>
      <w:r>
        <w:t xml:space="preserve">ing </w:t>
      </w:r>
      <w:r w:rsidRPr="000E41FB">
        <w:t xml:space="preserve">that the more salient health warnings convey the dangers of smoking and therefore may act as a deterrent for ex-smokers. Four </w:t>
      </w:r>
      <w:r w:rsidR="009953CF">
        <w:t>stakeholder</w:t>
      </w:r>
      <w:r w:rsidRPr="000E41FB">
        <w:t>s f</w:t>
      </w:r>
      <w:r w:rsidR="00A133A5">
        <w:t xml:space="preserve">rom public health organisations, </w:t>
      </w:r>
      <w:r w:rsidRPr="000E41FB">
        <w:t>two s</w:t>
      </w:r>
      <w:r w:rsidR="00A133A5">
        <w:t xml:space="preserve">tate government representatives, one health related NGO and some retailers </w:t>
      </w:r>
      <w:r w:rsidRPr="000E41FB">
        <w:t>gave quantitative ratings of ‘unsure’</w:t>
      </w:r>
      <w:r>
        <w:t xml:space="preserve"> </w:t>
      </w:r>
      <w:r w:rsidR="000550E5">
        <w:t>as they believe</w:t>
      </w:r>
      <w:r w:rsidR="00A133A5">
        <w:t>: there is currently no evidence or data to suggest that tobacco plain packaging has had an impact on relapse;</w:t>
      </w:r>
      <w:r w:rsidR="000550E5">
        <w:t xml:space="preserve"> other tobacco control measures have had more impact on discouraging people who have stopped smoking from relapsing</w:t>
      </w:r>
      <w:r w:rsidR="00A133A5">
        <w:t xml:space="preserve"> – although some </w:t>
      </w:r>
      <w:r w:rsidR="000550E5">
        <w:t xml:space="preserve">did suggest that tobacco plain packaging as part of a comprehensive suite of tobacco control measure may </w:t>
      </w:r>
      <w:r w:rsidR="00A133A5">
        <w:t>have an impact on relapse</w:t>
      </w:r>
      <w:r w:rsidR="000550E5">
        <w:t xml:space="preserve">. </w:t>
      </w:r>
      <w:r w:rsidR="006F4B66">
        <w:t>These stakeholders</w:t>
      </w:r>
      <w:r w:rsidR="006F4B66" w:rsidRPr="006F4B66">
        <w:t xml:space="preserve"> did not cite any sources to support their view.</w:t>
      </w:r>
    </w:p>
    <w:p w:rsidR="00775A76" w:rsidRDefault="00A133A5" w:rsidP="00775A76">
      <w:r w:rsidRPr="000E41FB">
        <w:t>A</w:t>
      </w:r>
      <w:r w:rsidR="00775A76" w:rsidRPr="000E41FB">
        <w:t xml:space="preserve"> tobacco packaging manufacturer indicated they were ‘unsure’ due to lack of available data/evidence that shows this finding. Those consumers who were unsure whether the measure has had an impact on discouraging relapse either did not provide an explanation or provided a </w:t>
      </w:r>
      <w:r w:rsidR="00A75FD3">
        <w:t xml:space="preserve">qualitative </w:t>
      </w:r>
      <w:r w:rsidR="00775A76" w:rsidRPr="000E41FB">
        <w:t>respon</w:t>
      </w:r>
      <w:r w:rsidR="00377C20">
        <w:t>se which indicated that they:</w:t>
      </w:r>
      <w:r w:rsidR="00775A76" w:rsidRPr="000E41FB">
        <w:t xml:space="preserve"> were not aware of any ex-smokers who had used tobacco plain packaging a</w:t>
      </w:r>
      <w:r w:rsidR="00377C20">
        <w:t>s a tool to avoid relapse</w:t>
      </w:r>
      <w:r w:rsidR="00C06D8D">
        <w:t>;</w:t>
      </w:r>
      <w:r w:rsidR="00775A76" w:rsidRPr="000E41FB">
        <w:t xml:space="preserve"> were not aware of any </w:t>
      </w:r>
      <w:r w:rsidR="00775A76" w:rsidRPr="000E41FB">
        <w:lastRenderedPageBreak/>
        <w:t xml:space="preserve">studies or data which suggest that the measure </w:t>
      </w:r>
      <w:r w:rsidR="001A5924" w:rsidRPr="000E41FB">
        <w:t>ha</w:t>
      </w:r>
      <w:r w:rsidR="001A5924">
        <w:t>s</w:t>
      </w:r>
      <w:r w:rsidR="001A5924" w:rsidRPr="000E41FB">
        <w:t xml:space="preserve"> </w:t>
      </w:r>
      <w:r w:rsidR="00775A76" w:rsidRPr="000E41FB">
        <w:t>had an impact on discouraging relapse</w:t>
      </w:r>
      <w:r w:rsidR="00C06D8D">
        <w:t>; or thought there were more significant factors which would ex-smokers from relapsing than tobacco plain packaging</w:t>
      </w:r>
      <w:r w:rsidR="00775A76" w:rsidRPr="000E41FB">
        <w:t xml:space="preserve">. </w:t>
      </w:r>
      <w:r w:rsidR="00C06D8D">
        <w:t xml:space="preserve">One consumer who was unsure said that this is potentially the area where tobacco plain packaging has worked most successfully. </w:t>
      </w:r>
      <w:r w:rsidR="006F4B66">
        <w:t>These stakeholders</w:t>
      </w:r>
      <w:r w:rsidR="006F4B66" w:rsidRPr="006F4B66">
        <w:t xml:space="preserve"> did not cite any sources to support their view.</w:t>
      </w:r>
    </w:p>
    <w:p w:rsidR="00C06D8D" w:rsidRDefault="00C06D8D" w:rsidP="00775A76">
      <w:r>
        <w:t>Tobacco wholesalers and importers, tobacco packaging manufacturer</w:t>
      </w:r>
      <w:r w:rsidR="00485FD7">
        <w:t xml:space="preserve">s, retailers, </w:t>
      </w:r>
      <w:r>
        <w:t xml:space="preserve">consumers </w:t>
      </w:r>
      <w:r w:rsidR="00485FD7">
        <w:t xml:space="preserve">and stakeholders from the ‘other and unspecified’ category who provided negative or unsure ratings </w:t>
      </w:r>
      <w:r>
        <w:t xml:space="preserve">reported that they </w:t>
      </w:r>
      <w:r w:rsidRPr="00996890">
        <w:t>do not believe that tobacco packaging plays a role in discouraging people from relapsing.</w:t>
      </w:r>
      <w:r>
        <w:t xml:space="preserve"> Instead they noted that they believe relapse occurs for a number of reasons including stress, and other triggers such as being around others who smoke. </w:t>
      </w:r>
      <w:r w:rsidR="00CE118E">
        <w:t xml:space="preserve">Further to this, some of these groups reported that they believe there is no evidence that shows an impact of tobacco plain packaging on relapse.  </w:t>
      </w:r>
      <w:r w:rsidR="006F4B66">
        <w:t>These stakeholders</w:t>
      </w:r>
      <w:r w:rsidR="006F4B66" w:rsidRPr="006F4B66">
        <w:t xml:space="preserve"> did not cite any sources to support their view.</w:t>
      </w:r>
    </w:p>
    <w:bookmarkEnd w:id="120"/>
    <w:bookmarkEnd w:id="121"/>
    <w:bookmarkEnd w:id="122"/>
    <w:p w:rsidR="00775A76" w:rsidRDefault="00775A76" w:rsidP="00775A76">
      <w:r w:rsidRPr="003E3E92">
        <w:rPr>
          <w:rFonts w:cs="Times New Roman"/>
          <w:bCs/>
        </w:rPr>
        <w:t>M</w:t>
      </w:r>
      <w:r w:rsidRPr="003E3E92">
        <w:t>o</w:t>
      </w:r>
      <w:r>
        <w:t xml:space="preserve">st </w:t>
      </w:r>
      <w:r w:rsidR="00BF6EDB">
        <w:t>stakeholders</w:t>
      </w:r>
      <w:r>
        <w:t xml:space="preserve"> </w:t>
      </w:r>
      <w:r w:rsidR="00D65416">
        <w:t>who participated in the consultation process from public health organisations</w:t>
      </w:r>
      <w:r>
        <w:t>, government departments, health and non-health related NGOs, tobacco companies and some retailers believe that there is limited data available at this early stage of what is designed to be a long term measure to demonstrate that tobacco plain packaging has discouraged people who have given up smoking from relapsing</w:t>
      </w:r>
      <w:r w:rsidR="00A75FD3">
        <w:t>.</w:t>
      </w:r>
      <w:r>
        <w:t xml:space="preserve"> Public health advocates believe that</w:t>
      </w:r>
      <w:r w:rsidRPr="005F7C9C">
        <w:t xml:space="preserve"> </w:t>
      </w:r>
      <w:r>
        <w:t>l</w:t>
      </w:r>
      <w:r w:rsidRPr="005F7C9C">
        <w:t>onger-term investigation of the i</w:t>
      </w:r>
      <w:r>
        <w:t xml:space="preserve">mpact of the legislation should be undertaken, and should </w:t>
      </w:r>
      <w:r w:rsidRPr="005F7C9C">
        <w:t xml:space="preserve">include assessment of </w:t>
      </w:r>
      <w:r>
        <w:t xml:space="preserve">more direct measures including </w:t>
      </w:r>
      <w:r w:rsidRPr="005F7C9C">
        <w:t>prevention of relapse among ex-smokers</w:t>
      </w:r>
      <w:r>
        <w:t>. They also recommend</w:t>
      </w:r>
      <w:r w:rsidR="009953CF">
        <w:t>ed</w:t>
      </w:r>
      <w:r>
        <w:t xml:space="preserve"> looking at variations in impacts on different groups in the Australian population and at the ongoing impact on relapse of factors such as brand recognition, awareness of the health risks of smoking, and the s</w:t>
      </w:r>
      <w:r w:rsidR="0060225B">
        <w:t>ocial acceptability of smoking.</w:t>
      </w:r>
    </w:p>
    <w:p w:rsidR="00D74253" w:rsidRPr="00C23FAF" w:rsidRDefault="00D65416" w:rsidP="00D74253">
      <w:r>
        <w:t xml:space="preserve">Tobacco company </w:t>
      </w:r>
      <w:r>
        <w:rPr>
          <w:szCs w:val="20"/>
        </w:rPr>
        <w:t>stakeholder/s</w:t>
      </w:r>
      <w:r>
        <w:t xml:space="preserve"> and non-health related NGO </w:t>
      </w:r>
      <w:r>
        <w:rPr>
          <w:szCs w:val="20"/>
        </w:rPr>
        <w:t>stakeholder/s</w:t>
      </w:r>
      <w:r w:rsidR="00D74253">
        <w:t xml:space="preserve"> believe that there is currently no data available which demonstrates a change in smoking prevalence and therefore that fewer Australians have decided to re-start smoking. Therefore, they believe it is not possible to assess whether the tobacco plain packaging measure has discouraged ex-smokers from </w:t>
      </w:r>
      <w:r w:rsidR="0060225B">
        <w:t>relapsing.</w:t>
      </w:r>
    </w:p>
    <w:p w:rsidR="007056D4" w:rsidRPr="00C23FAF" w:rsidRDefault="00175D16" w:rsidP="00D06FF2">
      <w:pPr>
        <w:spacing w:before="60" w:after="60"/>
      </w:pPr>
      <w:r>
        <w:t>Table 18</w:t>
      </w:r>
      <w:r w:rsidR="007056D4" w:rsidRPr="00C23FAF">
        <w:t xml:space="preserve"> presents a sample of stakeholder views across groups in order to ill</w:t>
      </w:r>
      <w:r w:rsidR="0060225B">
        <w:t>ustrate the diversity of views.</w:t>
      </w:r>
    </w:p>
    <w:p w:rsidR="007056D4" w:rsidRPr="00BC2BBC" w:rsidRDefault="00175D16" w:rsidP="00192E2B">
      <w:pPr>
        <w:pStyle w:val="TblHeading"/>
      </w:pPr>
      <w:proofErr w:type="gramStart"/>
      <w:r>
        <w:t>Table 18</w:t>
      </w:r>
      <w:r w:rsidR="007056D4" w:rsidRPr="00C23FAF">
        <w:t>.</w:t>
      </w:r>
      <w:proofErr w:type="gramEnd"/>
      <w:r w:rsidR="007056D4" w:rsidRPr="00C23FAF">
        <w:t xml:space="preserve"> </w:t>
      </w:r>
      <w:r w:rsidR="00843A11" w:rsidRPr="00C23FAF">
        <w:t>Examples</w:t>
      </w:r>
      <w:r w:rsidR="0060225B">
        <w:t xml:space="preserve"> of stakeholder views</w:t>
      </w:r>
    </w:p>
    <w:p w:rsidR="00576EDC" w:rsidRPr="00423F3B"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423F3B">
        <w:t xml:space="preserve">“Based on the responses being given by patients during the process of smoking cessation, the absence of the cue/trigger to smoke that a branded packet represents - it is more than likely also going to assist in preventing a relapse when nothing but plain packets in the community setting are ever seen.” </w:t>
      </w:r>
      <w:r w:rsidRPr="00F461A0">
        <w:t>(Public health organisation/expert)</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w:t>
      </w:r>
      <w:r w:rsidRPr="00423F3B">
        <w:t xml:space="preserve">I think to a great extent, but in combination with a range of other measures. You see policy changes, like retail display bans in Queensland and cracking down on designated outdoor smoking areas in pubs and clubs, which is keeping smokers further away from non-smokers, because those areas tend to be trigger points for social smoking (being around smokers when you’re out at night). The evidence suggests that </w:t>
      </w:r>
      <w:proofErr w:type="gramStart"/>
      <w:r w:rsidRPr="00423F3B">
        <w:t>yes,</w:t>
      </w:r>
      <w:proofErr w:type="gramEnd"/>
      <w:r w:rsidRPr="00423F3B">
        <w:t xml:space="preserve"> this is an important measure among a range of strategies that have been very effective.</w:t>
      </w:r>
      <w:r>
        <w:t>”</w:t>
      </w:r>
      <w:r>
        <w:rPr>
          <w:szCs w:val="20"/>
        </w:rPr>
        <w:t xml:space="preserve"> (Public health organisation/expert)</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rPr>
          <w:szCs w:val="20"/>
        </w:rPr>
      </w:pPr>
      <w:r w:rsidRPr="006F77EC">
        <w:rPr>
          <w:szCs w:val="20"/>
        </w:rPr>
        <w:t>“From an aid to cessation perspective and anecdotally, numerous patients that I have supported in their smoking cessation journey have reported a significantly reduced affinity for their 'packet of cigarettes'. While the patients seen are usually more nicotine dependent…and using a pharmacotherapy to aid cessation, they report fewer cravings from seeing or handling their packet of cigarettes th</w:t>
      </w:r>
      <w:r>
        <w:rPr>
          <w:szCs w:val="20"/>
        </w:rPr>
        <w:t>an on previous quit attempts.” (Public health organisation/expert)</w:t>
      </w:r>
    </w:p>
    <w:p w:rsidR="00576EDC" w:rsidRPr="00423F3B"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423F3B">
        <w:lastRenderedPageBreak/>
        <w:t xml:space="preserve"> “Out of sight legislation at a state level and restricting public smoking initiatives would probably add impact to relapse but it does contribute as part of the whole.”</w:t>
      </w:r>
      <w:r>
        <w:t xml:space="preserve"> </w:t>
      </w:r>
      <w:r w:rsidRPr="00F461A0">
        <w:t>(Government department stakeholder)</w:t>
      </w:r>
    </w:p>
    <w:p w:rsidR="00576EDC" w:rsidRPr="00423F3B"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423F3B">
        <w:t>“You can argue from the broader effort it may have contributed but you would need to see some evidence that it has actually done so or it is leading people to that conclusion.”</w:t>
      </w:r>
      <w:r>
        <w:t xml:space="preserve"> </w:t>
      </w:r>
      <w:r w:rsidRPr="00F461A0">
        <w:t>(Government department stakeholder)</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423F3B">
        <w:t xml:space="preserve"> “I believe people relapse because at the end of the day it is an addiction which, like all addictions, can be difficult to refrain from. It requires will power. Stress and other factors are perhaps the reasons why people relapse.”</w:t>
      </w:r>
      <w:r>
        <w:t>(Retailer)</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3B7AD4">
        <w:t xml:space="preserve">“Overall, I believe the effectiveness has been in reducing the environmental cue to smoke that a shiny, branded packet of cigarettes has on a smoker who has usually for many years identified the logo and brand </w:t>
      </w:r>
      <w:r>
        <w:t xml:space="preserve">as their own and their friend.” </w:t>
      </w:r>
      <w:r w:rsidRPr="00F461A0">
        <w:t>(Retailer)</w:t>
      </w:r>
    </w:p>
    <w:p w:rsidR="00576EDC" w:rsidRPr="00423F3B"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w:t>
      </w:r>
      <w:r w:rsidRPr="00D413A5">
        <w:t>By ensuring the health warnings so blatantly displayed has helped convey the dangers. However price appears to be bigger deterrent.</w:t>
      </w:r>
      <w:r>
        <w:t xml:space="preserve">” </w:t>
      </w:r>
      <w:r w:rsidRPr="00F461A0">
        <w:t>(Retailer)</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423F3B">
        <w:t xml:space="preserve"> “People who have tried to stop smoking unsuccessfully typically have other issues going on in their life. Product factors (i.e., price, packaging) will have little effect on w</w:t>
      </w:r>
      <w:r>
        <w:t>hether they will smoke or not.”(Tobacco wholesaler and importer)</w:t>
      </w:r>
    </w:p>
    <w:p w:rsidR="00576EDC" w:rsidRPr="00423F3B"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w:t>
      </w:r>
      <w:r w:rsidRPr="00423F3B">
        <w:t>It's the smell and the triggers, the stresses and the need (the addiction) that cause relapses. Not colours on packets!</w:t>
      </w:r>
      <w:r>
        <w:t>”(Consumer)</w:t>
      </w:r>
    </w:p>
    <w:p w:rsidR="00576EDC" w:rsidRPr="00423F3B"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w:t>
      </w:r>
      <w:r w:rsidRPr="00423F3B">
        <w:t>Packaging was never part of the reason for giving-up originally. It has no effect on the decision to resume.</w:t>
      </w:r>
      <w:r>
        <w:t xml:space="preserve">” </w:t>
      </w:r>
      <w:r w:rsidRPr="00F461A0">
        <w:t>(Consumer)</w:t>
      </w:r>
    </w:p>
    <w:p w:rsidR="00576ED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w:t>
      </w:r>
      <w:r w:rsidRPr="00423F3B">
        <w:t xml:space="preserve">Obviously, the </w:t>
      </w:r>
      <w:r>
        <w:t xml:space="preserve">tobacco plain packaging </w:t>
      </w:r>
      <w:r w:rsidRPr="00423F3B">
        <w:t>reinforces people’s decision to give up but this does not necessarily transla</w:t>
      </w:r>
      <w:r>
        <w:t xml:space="preserve">te to the reason for giving up.” </w:t>
      </w:r>
      <w:r w:rsidRPr="00F461A0">
        <w:t>(Consumer)</w:t>
      </w:r>
    </w:p>
    <w:p w:rsidR="00956FF1" w:rsidRPr="0060225B" w:rsidRDefault="00576EDC" w:rsidP="0060225B">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t>“As an ex-</w:t>
      </w:r>
      <w:r w:rsidRPr="00423F3B">
        <w:t>smoker, I know of the allure of the packaging, now it has gone, and health warnings are very graphic, temptation is very much reduced</w:t>
      </w:r>
      <w:r>
        <w:t xml:space="preserve">.” </w:t>
      </w:r>
      <w:r w:rsidRPr="00F461A0">
        <w:t>(Consumer)</w:t>
      </w:r>
    </w:p>
    <w:p w:rsidR="009C2B00" w:rsidRPr="00EC4641" w:rsidRDefault="00EE44E3" w:rsidP="00F855F4">
      <w:pPr>
        <w:pStyle w:val="Heading3"/>
        <w:spacing w:after="60"/>
      </w:pPr>
      <w:r>
        <w:br w:type="page"/>
      </w:r>
      <w:bookmarkStart w:id="123" w:name="_Toc418770513"/>
      <w:bookmarkStart w:id="124" w:name="_Toc419889589"/>
      <w:bookmarkStart w:id="125" w:name="_Toc422478392"/>
      <w:bookmarkStart w:id="126" w:name="_Toc426122323"/>
      <w:bookmarkStart w:id="127" w:name="_Toc427306700"/>
      <w:r w:rsidR="009C2B00" w:rsidRPr="00EC4641">
        <w:lastRenderedPageBreak/>
        <w:t>Reducing people’s exposure to smoke from tobacco products</w:t>
      </w:r>
      <w:bookmarkEnd w:id="123"/>
      <w:bookmarkEnd w:id="124"/>
      <w:r w:rsidR="00A628B1">
        <w:t xml:space="preserve"> </w:t>
      </w:r>
      <w:r w:rsidR="00A628B1">
        <w:br/>
      </w:r>
      <w:r w:rsidR="004E1D18" w:rsidRPr="00AF3FE3">
        <w:t>(section</w:t>
      </w:r>
      <w:r w:rsidR="00A628B1" w:rsidRPr="00AF3FE3">
        <w:t xml:space="preserve"> 3(1</w:t>
      </w:r>
      <w:proofErr w:type="gramStart"/>
      <w:r w:rsidR="00A628B1" w:rsidRPr="00AF3FE3">
        <w:t>)(</w:t>
      </w:r>
      <w:proofErr w:type="gramEnd"/>
      <w:r w:rsidR="00A628B1" w:rsidRPr="00AF3FE3">
        <w:t>a)(iv) of the TPP Act)</w:t>
      </w:r>
      <w:bookmarkEnd w:id="125"/>
      <w:bookmarkEnd w:id="126"/>
      <w:bookmarkEnd w:id="127"/>
    </w:p>
    <w:p w:rsidR="00420222" w:rsidRDefault="00BF6EDB" w:rsidP="00F855F4">
      <w:pPr>
        <w:spacing w:before="60" w:after="60"/>
        <w:rPr>
          <w:rFonts w:cs="Times New Roman"/>
        </w:rPr>
      </w:pPr>
      <w:r>
        <w:t>Stakeholders</w:t>
      </w:r>
      <w:r w:rsidR="008A4A6B" w:rsidRPr="008D52FA">
        <w:t xml:space="preserve"> were asked to </w:t>
      </w:r>
      <w:r w:rsidR="008A4A6B" w:rsidRPr="008A4A6B">
        <w:t>provide ratings and qualitative</w:t>
      </w:r>
      <w:r w:rsidR="008A4A6B">
        <w:t xml:space="preserve"> </w:t>
      </w:r>
      <w:r w:rsidR="00BB3D99" w:rsidRPr="008D52FA">
        <w:t>comment on the extent to which they thought that the tobacco</w:t>
      </w:r>
      <w:r w:rsidR="00416DF1">
        <w:t xml:space="preserve"> plain packaging </w:t>
      </w:r>
      <w:r w:rsidR="00BB3D99" w:rsidRPr="008D52FA">
        <w:t xml:space="preserve">measure, </w:t>
      </w:r>
      <w:r w:rsidR="00BB3D99">
        <w:t>as part of broader effort, has reduced people’s exposure to smoke from tobacco products</w:t>
      </w:r>
      <w:r w:rsidR="00BB3D99" w:rsidRPr="008A6282">
        <w:t>.</w:t>
      </w:r>
      <w:r w:rsidR="004878EC">
        <w:t xml:space="preserve"> </w:t>
      </w:r>
      <w:r w:rsidR="001D03EB">
        <w:t>The limitations of this data are</w:t>
      </w:r>
      <w:r w:rsidR="00050E6B">
        <w:t xml:space="preserve"> discussed at Section 1.3 of this report</w:t>
      </w:r>
    </w:p>
    <w:p w:rsidR="00533407" w:rsidRPr="0044799A" w:rsidRDefault="00533407" w:rsidP="00F855F4">
      <w:pPr>
        <w:pStyle w:val="Heading4"/>
        <w:spacing w:before="60" w:after="60"/>
      </w:pPr>
      <w:r w:rsidRPr="0044799A">
        <w:t>Quantitative ratings</w:t>
      </w:r>
    </w:p>
    <w:p w:rsidR="00175D16" w:rsidRPr="00352E39" w:rsidRDefault="00175D16" w:rsidP="00F855F4">
      <w:pPr>
        <w:spacing w:before="60" w:after="60"/>
      </w:pPr>
      <w:r w:rsidRPr="00352E39">
        <w:t>T</w:t>
      </w:r>
      <w:r>
        <w:t>able 19</w:t>
      </w:r>
      <w:r w:rsidRPr="00352E39">
        <w:t xml:space="preserve"> presents </w:t>
      </w:r>
      <w:r w:rsidRPr="00D46A69">
        <w:t>posit</w:t>
      </w:r>
      <w:r>
        <w:t xml:space="preserve">ive, negative and unsure </w:t>
      </w:r>
      <w:r w:rsidRPr="00352E39">
        <w:t>ratings</w:t>
      </w:r>
      <w:r>
        <w:t xml:space="preserve"> (and no response)</w:t>
      </w:r>
      <w:r w:rsidRPr="00352E39">
        <w:t xml:space="preserve"> by stakeholder </w:t>
      </w:r>
      <w:r w:rsidRPr="00492735">
        <w:t xml:space="preserve">category </w:t>
      </w:r>
      <w:r w:rsidRPr="00492735">
        <w:rPr>
          <w:rFonts w:cs="Times New Roman"/>
          <w:bCs/>
        </w:rPr>
        <w:t>for those stakeholders who participated in the consultation process using the consultation protocol only</w:t>
      </w:r>
      <w:r w:rsidRPr="00492735">
        <w:t>. This</w:t>
      </w:r>
      <w:r w:rsidRPr="00352E39">
        <w:t xml:space="preserve"> allows the reader to identify the stakeholder groups who gave each type of rating and the distribution of rati</w:t>
      </w:r>
      <w:r w:rsidR="0060225B">
        <w:t>ngs across stakeholder groups.</w:t>
      </w:r>
    </w:p>
    <w:p w:rsidR="00175D16" w:rsidRPr="00E12A7B" w:rsidRDefault="00175D16" w:rsidP="00192E2B">
      <w:pPr>
        <w:pStyle w:val="TblHeading"/>
      </w:pPr>
      <w:proofErr w:type="gramStart"/>
      <w:r>
        <w:t>Table 19</w:t>
      </w:r>
      <w:r w:rsidRPr="00E12A7B">
        <w:t>.</w:t>
      </w:r>
      <w:proofErr w:type="gramEnd"/>
      <w:r w:rsidRPr="00E12A7B">
        <w:t xml:space="preserve"> </w:t>
      </w:r>
      <w:r w:rsidR="00031D1D" w:rsidRPr="00E12A7B">
        <w:t xml:space="preserve">Frequency of types of quantitative ratings </w:t>
      </w:r>
      <w:r w:rsidR="00031D1D">
        <w:t>by stakeholders regarding whether the</w:t>
      </w:r>
      <w:r w:rsidR="00031D1D" w:rsidRPr="008D52FA">
        <w:t xml:space="preserve"> tobacco</w:t>
      </w:r>
      <w:r w:rsidR="00031D1D">
        <w:t xml:space="preserve"> plain packaging </w:t>
      </w:r>
      <w:r w:rsidR="00031D1D" w:rsidRPr="008D52FA">
        <w:t>measure</w:t>
      </w:r>
      <w:r w:rsidR="00031D1D">
        <w:t xml:space="preserve"> has reduced people’s exposure to tobacco smoke,</w:t>
      </w:r>
      <w:r w:rsidRPr="00E12A7B">
        <w:t xml:space="preserve"> grouped by stakeholder category (for those stakeholders who participated in the consultation process using the consultation protocol </w:t>
      </w:r>
      <w:r>
        <w:t>only</w:t>
      </w:r>
      <w:r w:rsidR="00031D1D">
        <w:t>)</w:t>
      </w:r>
    </w:p>
    <w:tbl>
      <w:tblPr>
        <w:tblW w:w="4831" w:type="pct"/>
        <w:tblInd w:w="108" w:type="dxa"/>
        <w:tblLayout w:type="fixed"/>
        <w:tblCellMar>
          <w:left w:w="0" w:type="dxa"/>
          <w:right w:w="0" w:type="dxa"/>
        </w:tblCellMar>
        <w:tblLook w:val="04A0" w:firstRow="1" w:lastRow="0" w:firstColumn="1" w:lastColumn="0" w:noHBand="0" w:noVBand="1"/>
        <w:tblDescription w:val="For the various stakeholder groups, table 19 shows the frequency of stakeholder quantitative ratings for whether the measure has reduced people's exposure to smoke from tobacco products.  It has five columns.  Read across for stakeholder group, positive result (to a great extent or somewhat), negative result (not at all or very little), unsure, and no response provided.  Data is presented in the format n/m where n is the number of stakeholders giving the particular rating and m is the total number of stakeholders in the relevant stakeholder group.  Those stakeholders who did not provide a quantitative rating have been included in the denominator as some did go on to provide qualitative responses."/>
      </w:tblPr>
      <w:tblGrid>
        <w:gridCol w:w="2269"/>
        <w:gridCol w:w="1843"/>
        <w:gridCol w:w="1559"/>
        <w:gridCol w:w="1559"/>
        <w:gridCol w:w="1700"/>
      </w:tblGrid>
      <w:tr w:rsidR="00C4546F" w:rsidRPr="00FE7970" w:rsidTr="00576EDC">
        <w:trPr>
          <w:trHeight w:val="704"/>
          <w:tblHeader/>
        </w:trPr>
        <w:tc>
          <w:tcPr>
            <w:tcW w:w="1270" w:type="pct"/>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hideMark/>
          </w:tcPr>
          <w:p w:rsidR="00C4546F" w:rsidRPr="00FE7970" w:rsidRDefault="00C4546F" w:rsidP="008A4A6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Stakeholder group</w:t>
            </w:r>
          </w:p>
        </w:tc>
        <w:tc>
          <w:tcPr>
            <w:tcW w:w="103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C4546F" w:rsidRPr="00FE7970" w:rsidRDefault="00C4546F" w:rsidP="00E3391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Positive result (to a great extent/ somewhat)</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C4546F" w:rsidRPr="00FE7970" w:rsidRDefault="00C4546F" w:rsidP="00E3391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Negative result (not at all/ very little) </w:t>
            </w:r>
          </w:p>
        </w:tc>
        <w:tc>
          <w:tcPr>
            <w:tcW w:w="873"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C4546F" w:rsidRPr="00FE7970" w:rsidRDefault="00C4546F" w:rsidP="008A4A6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 xml:space="preserve">Unsure </w:t>
            </w:r>
          </w:p>
        </w:tc>
        <w:tc>
          <w:tcPr>
            <w:tcW w:w="952" w:type="pct"/>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rsidR="00C4546F" w:rsidRPr="00FE7970" w:rsidRDefault="00C4546F" w:rsidP="008A4A6B">
            <w:pPr>
              <w:spacing w:before="0" w:after="0"/>
              <w:jc w:val="center"/>
              <w:rPr>
                <w:rFonts w:cs="Times New Roman"/>
                <w:b/>
                <w:bCs/>
                <w:color w:val="000000"/>
                <w:sz w:val="18"/>
                <w:szCs w:val="18"/>
                <w:lang w:eastAsia="en-AU"/>
              </w:rPr>
            </w:pPr>
            <w:r w:rsidRPr="00FE7970">
              <w:rPr>
                <w:rFonts w:cs="Times New Roman"/>
                <w:b/>
                <w:bCs/>
                <w:color w:val="000000"/>
                <w:sz w:val="18"/>
                <w:szCs w:val="18"/>
                <w:lang w:eastAsia="en-AU"/>
              </w:rPr>
              <w:t>No Response Provided</w:t>
            </w:r>
            <w:r w:rsidRPr="00FE7970">
              <w:rPr>
                <w:rStyle w:val="FootnoteReference"/>
                <w:rFonts w:cs="Times New Roman"/>
                <w:b/>
                <w:color w:val="000000"/>
                <w:sz w:val="18"/>
                <w:szCs w:val="18"/>
                <w:lang w:eastAsia="en-AU"/>
              </w:rPr>
              <w:footnoteReference w:customMarkFollows="1" w:id="17"/>
              <w:t>[1]</w:t>
            </w:r>
          </w:p>
        </w:tc>
      </w:tr>
      <w:tr w:rsidR="00AD68EA" w:rsidRPr="00FE7970" w:rsidTr="00C4546F">
        <w:trPr>
          <w:trHeight w:val="572"/>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D68EA" w:rsidRPr="00FE7970" w:rsidRDefault="00AD68EA" w:rsidP="00AD68EA">
            <w:pPr>
              <w:spacing w:before="0" w:after="0"/>
              <w:rPr>
                <w:rFonts w:cs="Times New Roman"/>
                <w:color w:val="000000"/>
                <w:sz w:val="18"/>
                <w:szCs w:val="18"/>
                <w:lang w:eastAsia="en-AU"/>
              </w:rPr>
            </w:pPr>
            <w:r w:rsidRPr="00FE7970">
              <w:rPr>
                <w:rFonts w:cs="Times New Roman"/>
                <w:color w:val="000000"/>
                <w:sz w:val="18"/>
                <w:szCs w:val="18"/>
                <w:lang w:eastAsia="en-AU"/>
              </w:rPr>
              <w:t>Public Health Organisations/Experts</w:t>
            </w:r>
          </w:p>
          <w:p w:rsidR="00AD68EA" w:rsidRPr="00FE7970" w:rsidRDefault="00AD68EA" w:rsidP="00AD68EA">
            <w:pPr>
              <w:spacing w:before="0" w:after="0"/>
              <w:rPr>
                <w:rFonts w:cs="Times New Roman"/>
                <w:color w:val="000000"/>
                <w:sz w:val="18"/>
                <w:szCs w:val="18"/>
                <w:lang w:eastAsia="en-AU"/>
              </w:rPr>
            </w:pPr>
            <w:r w:rsidRPr="00FE7970">
              <w:rPr>
                <w:rFonts w:cs="Times New Roman"/>
                <w:color w:val="000000"/>
                <w:sz w:val="18"/>
                <w:szCs w:val="18"/>
                <w:lang w:eastAsia="en-AU"/>
              </w:rPr>
              <w:t>(n=</w:t>
            </w:r>
            <w:r w:rsidR="004B7A40">
              <w:rPr>
                <w:rFonts w:cs="Times New Roman"/>
                <w:color w:val="000000"/>
                <w:sz w:val="18"/>
                <w:szCs w:val="18"/>
                <w:lang w:eastAsia="en-AU"/>
              </w:rPr>
              <w:t>20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12/</w:t>
            </w:r>
            <w:r w:rsidR="004B7A40">
              <w:rPr>
                <w:rFonts w:cs="Times New Roman"/>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4B7A40" w:rsidP="00AD68EA">
            <w:pPr>
              <w:spacing w:after="0"/>
              <w:jc w:val="center"/>
              <w:rPr>
                <w:rFonts w:cs="Times New Roman"/>
                <w:color w:val="000000"/>
                <w:sz w:val="18"/>
                <w:szCs w:val="18"/>
                <w:lang w:eastAsia="en-AU"/>
              </w:rPr>
            </w:pPr>
            <w:r>
              <w:rPr>
                <w:rFonts w:cs="Times New Roman"/>
                <w:color w:val="000000"/>
                <w:sz w:val="18"/>
                <w:szCs w:val="18"/>
                <w:lang w:eastAsia="en-AU"/>
              </w:rPr>
              <w:t>0</w:t>
            </w:r>
            <w:r w:rsidR="00AD68EA">
              <w:rPr>
                <w:rFonts w:cs="Times New Roman"/>
                <w:color w:val="000000"/>
                <w:sz w:val="18"/>
                <w:szCs w:val="18"/>
                <w:lang w:eastAsia="en-AU"/>
              </w:rPr>
              <w:t>/</w:t>
            </w:r>
            <w:r>
              <w:rPr>
                <w:rFonts w:cs="Times New Roman"/>
                <w:color w:val="000000"/>
                <w:sz w:val="18"/>
                <w:szCs w:val="18"/>
                <w:lang w:eastAsia="en-AU"/>
              </w:rPr>
              <w:t>20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5/</w:t>
            </w:r>
            <w:r w:rsidR="004B7A40">
              <w:rPr>
                <w:rFonts w:cs="Times New Roman"/>
                <w:color w:val="000000"/>
                <w:sz w:val="18"/>
                <w:szCs w:val="18"/>
                <w:lang w:eastAsia="en-AU"/>
              </w:rPr>
              <w:t>20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3/</w:t>
            </w:r>
            <w:r w:rsidR="004B7A40">
              <w:rPr>
                <w:rFonts w:cs="Times New Roman"/>
                <w:color w:val="000000"/>
                <w:sz w:val="18"/>
                <w:szCs w:val="18"/>
                <w:lang w:eastAsia="en-AU"/>
              </w:rPr>
              <w:t>20</w:t>
            </w:r>
          </w:p>
        </w:tc>
      </w:tr>
      <w:tr w:rsidR="00AD68EA" w:rsidRPr="00FE7970" w:rsidTr="00C4546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D68EA" w:rsidRPr="00FE7970" w:rsidRDefault="00AD68EA" w:rsidP="00AD68EA">
            <w:pPr>
              <w:spacing w:before="0" w:after="0"/>
              <w:rPr>
                <w:rFonts w:cs="Times New Roman"/>
                <w:color w:val="000000"/>
                <w:sz w:val="18"/>
                <w:szCs w:val="18"/>
                <w:lang w:eastAsia="en-AU"/>
              </w:rPr>
            </w:pPr>
            <w:r w:rsidRPr="00FE7970">
              <w:rPr>
                <w:rFonts w:cs="Times New Roman"/>
                <w:color w:val="000000"/>
                <w:sz w:val="18"/>
                <w:szCs w:val="18"/>
                <w:lang w:eastAsia="en-AU"/>
              </w:rPr>
              <w:t>Government Departments</w:t>
            </w:r>
          </w:p>
          <w:p w:rsidR="00AD68EA" w:rsidRPr="00FE7970" w:rsidRDefault="00AD68EA" w:rsidP="00AD68EA">
            <w:pPr>
              <w:spacing w:before="0" w:after="0"/>
              <w:rPr>
                <w:rFonts w:cs="Times New Roman"/>
                <w:color w:val="000000"/>
                <w:sz w:val="18"/>
                <w:szCs w:val="18"/>
                <w:lang w:eastAsia="en-AU"/>
              </w:rPr>
            </w:pPr>
            <w:r>
              <w:rPr>
                <w:rFonts w:cs="Times New Roman"/>
                <w:color w:val="000000"/>
                <w:sz w:val="18"/>
                <w:szCs w:val="18"/>
                <w:lang w:eastAsia="en-AU"/>
              </w:rPr>
              <w:t>(n=8</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5/8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0</w:t>
            </w:r>
            <w:r w:rsidR="006F06AD">
              <w:rPr>
                <w:rFonts w:cs="Times New Roman"/>
                <w:color w:val="000000"/>
                <w:sz w:val="18"/>
                <w:szCs w:val="18"/>
                <w:lang w:eastAsia="en-AU"/>
              </w:rPr>
              <w:t>/8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3/8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0</w:t>
            </w:r>
            <w:r w:rsidR="006F06AD">
              <w:rPr>
                <w:rFonts w:cs="Times New Roman"/>
                <w:color w:val="000000"/>
                <w:sz w:val="18"/>
                <w:szCs w:val="18"/>
                <w:lang w:eastAsia="en-AU"/>
              </w:rPr>
              <w:t>/8</w:t>
            </w:r>
          </w:p>
        </w:tc>
      </w:tr>
      <w:tr w:rsidR="00AD68EA" w:rsidRPr="00FE7970" w:rsidTr="00C4546F">
        <w:trPr>
          <w:trHeight w:val="485"/>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D68EA" w:rsidRPr="00FE7970" w:rsidRDefault="00AD68EA" w:rsidP="00AD68EA">
            <w:pPr>
              <w:spacing w:before="0" w:after="0"/>
              <w:rPr>
                <w:rFonts w:cs="Times New Roman"/>
                <w:color w:val="000000"/>
                <w:sz w:val="18"/>
                <w:szCs w:val="18"/>
                <w:lang w:eastAsia="en-AU"/>
              </w:rPr>
            </w:pPr>
            <w:r w:rsidRPr="00FE7970">
              <w:rPr>
                <w:rFonts w:cs="Times New Roman"/>
                <w:color w:val="000000"/>
                <w:sz w:val="18"/>
                <w:szCs w:val="18"/>
                <w:lang w:eastAsia="en-AU"/>
              </w:rPr>
              <w:t>Non-Government Organisations</w:t>
            </w:r>
          </w:p>
          <w:p w:rsidR="00AD68EA" w:rsidRPr="00FE7970" w:rsidRDefault="00AD68EA" w:rsidP="00AD68EA">
            <w:pPr>
              <w:spacing w:before="0" w:after="0"/>
              <w:rPr>
                <w:rFonts w:cs="Times New Roman"/>
                <w:color w:val="000000"/>
                <w:sz w:val="18"/>
                <w:szCs w:val="18"/>
                <w:lang w:eastAsia="en-AU"/>
              </w:rPr>
            </w:pPr>
            <w:r w:rsidRPr="00FE7970">
              <w:rPr>
                <w:rFonts w:cs="Times New Roman"/>
                <w:color w:val="000000"/>
                <w:sz w:val="18"/>
                <w:szCs w:val="18"/>
                <w:lang w:eastAsia="en-AU"/>
              </w:rPr>
              <w:t>(n=14)</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4/14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6/14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2/14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2/14</w:t>
            </w:r>
          </w:p>
        </w:tc>
      </w:tr>
      <w:tr w:rsidR="00263493" w:rsidRPr="00FE7970" w:rsidTr="00C4546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63493" w:rsidRPr="00FE7970" w:rsidRDefault="00263493" w:rsidP="00263493">
            <w:pPr>
              <w:spacing w:before="0" w:after="0"/>
              <w:rPr>
                <w:rFonts w:cs="Times New Roman"/>
                <w:color w:val="000000"/>
                <w:sz w:val="18"/>
                <w:szCs w:val="18"/>
                <w:lang w:eastAsia="en-AU"/>
              </w:rPr>
            </w:pPr>
            <w:r w:rsidRPr="00FE7970">
              <w:rPr>
                <w:rFonts w:cs="Times New Roman"/>
                <w:color w:val="000000"/>
                <w:sz w:val="18"/>
                <w:szCs w:val="18"/>
                <w:lang w:eastAsia="en-AU"/>
              </w:rPr>
              <w:t>Tobacco Companies</w:t>
            </w:r>
          </w:p>
          <w:p w:rsidR="00263493" w:rsidRPr="00FE7970" w:rsidRDefault="00263493" w:rsidP="00263493">
            <w:pPr>
              <w:spacing w:before="0" w:after="0"/>
              <w:rPr>
                <w:rFonts w:cs="Times New Roman"/>
                <w:color w:val="000000"/>
                <w:sz w:val="18"/>
                <w:szCs w:val="18"/>
                <w:lang w:eastAsia="en-AU"/>
              </w:rPr>
            </w:pPr>
            <w:r>
              <w:rPr>
                <w:rFonts w:cs="Times New Roman"/>
                <w:color w:val="000000"/>
                <w:sz w:val="18"/>
                <w:szCs w:val="18"/>
                <w:lang w:eastAsia="en-AU"/>
              </w:rPr>
              <w:t>(n=3</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263493" w:rsidRPr="00C05D65" w:rsidRDefault="00263493" w:rsidP="00263493">
            <w:pPr>
              <w:spacing w:after="0"/>
              <w:jc w:val="center"/>
              <w:rPr>
                <w:rFonts w:cs="Times New Roman"/>
                <w:color w:val="000000"/>
                <w:sz w:val="18"/>
                <w:szCs w:val="18"/>
                <w:lang w:eastAsia="en-AU"/>
              </w:rPr>
            </w:pPr>
            <w:r>
              <w:rPr>
                <w:rFonts w:cs="Times New Roman"/>
                <w:color w:val="000000"/>
                <w:sz w:val="18"/>
                <w:szCs w:val="18"/>
                <w:lang w:eastAsia="en-AU"/>
              </w:rPr>
              <w:t>0</w:t>
            </w:r>
            <w:r w:rsidR="006F06AD">
              <w:rPr>
                <w:rFonts w:cs="Times New Roman"/>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63493" w:rsidRPr="00C05D65" w:rsidRDefault="00263493" w:rsidP="00263493">
            <w:pPr>
              <w:spacing w:after="0"/>
              <w:jc w:val="center"/>
              <w:rPr>
                <w:rFonts w:cs="Times New Roman"/>
                <w:color w:val="000000"/>
                <w:sz w:val="18"/>
                <w:szCs w:val="18"/>
                <w:lang w:eastAsia="en-AU"/>
              </w:rPr>
            </w:pPr>
            <w:r>
              <w:rPr>
                <w:rFonts w:cs="Times New Roman"/>
                <w:color w:val="000000"/>
                <w:sz w:val="18"/>
                <w:szCs w:val="18"/>
                <w:lang w:eastAsia="en-AU"/>
              </w:rPr>
              <w:t>2/3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263493" w:rsidRPr="00C05D65" w:rsidRDefault="00263493" w:rsidP="00263493">
            <w:pPr>
              <w:spacing w:after="0"/>
              <w:jc w:val="center"/>
              <w:rPr>
                <w:rFonts w:cs="Times New Roman"/>
                <w:color w:val="000000"/>
                <w:sz w:val="18"/>
                <w:szCs w:val="18"/>
                <w:lang w:eastAsia="en-AU"/>
              </w:rPr>
            </w:pPr>
            <w:r>
              <w:rPr>
                <w:rFonts w:cs="Times New Roman"/>
                <w:color w:val="000000"/>
                <w:sz w:val="18"/>
                <w:szCs w:val="18"/>
                <w:lang w:eastAsia="en-AU"/>
              </w:rPr>
              <w:t>0</w:t>
            </w:r>
            <w:r w:rsidR="006F06AD">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263493" w:rsidRPr="00C05D65" w:rsidRDefault="00263493" w:rsidP="00263493">
            <w:pPr>
              <w:spacing w:after="0"/>
              <w:jc w:val="center"/>
              <w:rPr>
                <w:rFonts w:cs="Times New Roman"/>
                <w:color w:val="000000"/>
                <w:sz w:val="18"/>
                <w:szCs w:val="18"/>
                <w:lang w:eastAsia="en-AU"/>
              </w:rPr>
            </w:pPr>
            <w:r>
              <w:rPr>
                <w:rFonts w:cs="Times New Roman"/>
                <w:color w:val="000000"/>
                <w:sz w:val="18"/>
                <w:szCs w:val="18"/>
                <w:lang w:eastAsia="en-AU"/>
              </w:rPr>
              <w:t>1/3</w:t>
            </w:r>
          </w:p>
        </w:tc>
      </w:tr>
      <w:tr w:rsidR="00AD68EA" w:rsidRPr="00FE7970" w:rsidTr="00C4546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D68EA" w:rsidRPr="00FE7970" w:rsidRDefault="00AD68EA" w:rsidP="00AD68EA">
            <w:pPr>
              <w:spacing w:before="0" w:after="0"/>
              <w:rPr>
                <w:rFonts w:cs="Times New Roman"/>
                <w:color w:val="000000"/>
                <w:sz w:val="18"/>
                <w:szCs w:val="18"/>
                <w:lang w:eastAsia="en-AU"/>
              </w:rPr>
            </w:pPr>
            <w:r w:rsidRPr="00FE7970">
              <w:rPr>
                <w:rFonts w:cs="Times New Roman"/>
                <w:color w:val="000000"/>
                <w:sz w:val="18"/>
                <w:szCs w:val="18"/>
                <w:lang w:eastAsia="en-AU"/>
              </w:rPr>
              <w:t>Tobacco Wholesalers/</w:t>
            </w:r>
          </w:p>
          <w:p w:rsidR="00AD68EA" w:rsidRPr="00FE7970" w:rsidRDefault="00AD68EA" w:rsidP="00AD68EA">
            <w:pPr>
              <w:spacing w:before="0" w:after="0"/>
              <w:rPr>
                <w:rFonts w:cs="Times New Roman"/>
                <w:color w:val="000000"/>
                <w:sz w:val="18"/>
                <w:szCs w:val="18"/>
                <w:lang w:eastAsia="en-AU"/>
              </w:rPr>
            </w:pPr>
            <w:r w:rsidRPr="00FE7970">
              <w:rPr>
                <w:rFonts w:cs="Times New Roman"/>
                <w:color w:val="000000"/>
                <w:sz w:val="18"/>
                <w:szCs w:val="18"/>
                <w:lang w:eastAsia="en-AU"/>
              </w:rPr>
              <w:t>Importers</w:t>
            </w:r>
          </w:p>
          <w:p w:rsidR="00AD68EA" w:rsidRPr="00FE7970" w:rsidRDefault="00AD68EA" w:rsidP="00AD68EA">
            <w:pPr>
              <w:spacing w:before="0" w:after="0"/>
              <w:rPr>
                <w:rFonts w:cs="Times New Roman"/>
                <w:color w:val="000000"/>
                <w:sz w:val="18"/>
                <w:szCs w:val="18"/>
                <w:lang w:eastAsia="en-AU"/>
              </w:rPr>
            </w:pPr>
            <w:r w:rsidRPr="00FE7970">
              <w:rPr>
                <w:rFonts w:cs="Times New Roman"/>
                <w:color w:val="000000"/>
                <w:sz w:val="18"/>
                <w:szCs w:val="18"/>
                <w:lang w:eastAsia="en-AU"/>
              </w:rPr>
              <w:t>(n=3)</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0</w:t>
            </w:r>
            <w:r w:rsidR="0091758F">
              <w:rPr>
                <w:rFonts w:cs="Times New Roman"/>
                <w:color w:val="000000"/>
                <w:sz w:val="18"/>
                <w:szCs w:val="18"/>
                <w:lang w:eastAsia="en-AU"/>
              </w:rPr>
              <w:t>/3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3/3</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0</w:t>
            </w:r>
            <w:r w:rsidR="0091758F">
              <w:rPr>
                <w:rFonts w:cs="Times New Roman"/>
                <w:color w:val="000000"/>
                <w:sz w:val="18"/>
                <w:szCs w:val="18"/>
                <w:lang w:eastAsia="en-AU"/>
              </w:rPr>
              <w:t>/3</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0</w:t>
            </w:r>
            <w:r w:rsidR="0091758F">
              <w:rPr>
                <w:rFonts w:cs="Times New Roman"/>
                <w:color w:val="000000"/>
                <w:sz w:val="18"/>
                <w:szCs w:val="18"/>
                <w:lang w:eastAsia="en-AU"/>
              </w:rPr>
              <w:t>/3</w:t>
            </w:r>
          </w:p>
        </w:tc>
      </w:tr>
      <w:tr w:rsidR="00AD68EA" w:rsidRPr="00FE7970" w:rsidTr="00C4546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D68EA" w:rsidRPr="00FE7970" w:rsidRDefault="00AD68EA" w:rsidP="00AD68EA">
            <w:pPr>
              <w:spacing w:before="0" w:after="0"/>
              <w:rPr>
                <w:rFonts w:cs="Times New Roman"/>
                <w:color w:val="000000"/>
                <w:sz w:val="18"/>
                <w:szCs w:val="18"/>
                <w:lang w:eastAsia="en-AU"/>
              </w:rPr>
            </w:pPr>
            <w:r w:rsidRPr="00FE7970">
              <w:rPr>
                <w:rFonts w:cs="Times New Roman"/>
                <w:color w:val="000000"/>
                <w:sz w:val="18"/>
                <w:szCs w:val="18"/>
                <w:lang w:eastAsia="en-AU"/>
              </w:rPr>
              <w:t>Tobacco Retailers</w:t>
            </w:r>
          </w:p>
          <w:p w:rsidR="00AD68EA" w:rsidRPr="00FE7970" w:rsidRDefault="00AD68EA" w:rsidP="00AD68EA">
            <w:pPr>
              <w:spacing w:before="0" w:after="0"/>
              <w:rPr>
                <w:rFonts w:cs="Times New Roman"/>
                <w:color w:val="000000"/>
                <w:sz w:val="18"/>
                <w:szCs w:val="18"/>
                <w:lang w:eastAsia="en-AU"/>
              </w:rPr>
            </w:pPr>
            <w:r w:rsidRPr="00FE7970">
              <w:rPr>
                <w:rFonts w:cs="Times New Roman"/>
                <w:color w:val="000000"/>
                <w:sz w:val="18"/>
                <w:szCs w:val="18"/>
                <w:lang w:eastAsia="en-AU"/>
              </w:rPr>
              <w:t>(n=68)</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5/68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54/68</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5/68</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4/68</w:t>
            </w:r>
          </w:p>
        </w:tc>
      </w:tr>
      <w:tr w:rsidR="00AD68EA" w:rsidRPr="00FE7970" w:rsidTr="00C4546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D68EA" w:rsidRPr="00FE7970" w:rsidRDefault="00AD68EA" w:rsidP="00AD68EA">
            <w:pPr>
              <w:spacing w:before="0" w:after="0"/>
              <w:rPr>
                <w:rFonts w:cs="Times New Roman"/>
                <w:color w:val="000000"/>
                <w:sz w:val="18"/>
                <w:szCs w:val="18"/>
                <w:lang w:eastAsia="en-AU"/>
              </w:rPr>
            </w:pPr>
            <w:r w:rsidRPr="00FE7970">
              <w:rPr>
                <w:rFonts w:cs="Times New Roman"/>
                <w:color w:val="000000"/>
                <w:sz w:val="18"/>
                <w:szCs w:val="18"/>
                <w:lang w:eastAsia="en-AU"/>
              </w:rPr>
              <w:t>Consumers</w:t>
            </w:r>
          </w:p>
          <w:p w:rsidR="00AD68EA" w:rsidRPr="00FE7970" w:rsidRDefault="00AD68EA" w:rsidP="00AD68EA">
            <w:pPr>
              <w:spacing w:before="0" w:after="0"/>
              <w:rPr>
                <w:rFonts w:cs="Times New Roman"/>
                <w:color w:val="000000"/>
                <w:sz w:val="18"/>
                <w:szCs w:val="18"/>
                <w:lang w:eastAsia="en-AU"/>
              </w:rPr>
            </w:pPr>
            <w:r w:rsidRPr="00FE7970">
              <w:rPr>
                <w:rFonts w:cs="Times New Roman"/>
                <w:color w:val="000000"/>
                <w:sz w:val="18"/>
                <w:szCs w:val="18"/>
                <w:lang w:eastAsia="en-AU"/>
              </w:rPr>
              <w:t>(n=412)</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20/412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348/412</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18/412</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26/412</w:t>
            </w:r>
          </w:p>
        </w:tc>
      </w:tr>
      <w:tr w:rsidR="00AD68EA" w:rsidRPr="00FE7970" w:rsidTr="00C4546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D68EA" w:rsidRPr="00FE7970" w:rsidRDefault="00AD68EA" w:rsidP="00AD68EA">
            <w:pPr>
              <w:spacing w:before="0" w:after="0"/>
              <w:rPr>
                <w:rFonts w:cs="Times New Roman"/>
                <w:color w:val="000000"/>
                <w:sz w:val="18"/>
                <w:szCs w:val="18"/>
                <w:lang w:eastAsia="en-AU"/>
              </w:rPr>
            </w:pPr>
            <w:r w:rsidRPr="00FE7970">
              <w:rPr>
                <w:rFonts w:cs="Times New Roman"/>
                <w:color w:val="000000"/>
                <w:sz w:val="18"/>
                <w:szCs w:val="18"/>
                <w:lang w:eastAsia="en-AU"/>
              </w:rPr>
              <w:t>Other</w:t>
            </w:r>
          </w:p>
          <w:p w:rsidR="00AD68EA" w:rsidRPr="00FE7970" w:rsidRDefault="00AD68EA" w:rsidP="00AD68EA">
            <w:pPr>
              <w:spacing w:before="0" w:after="0"/>
              <w:rPr>
                <w:rFonts w:cs="Times New Roman"/>
                <w:color w:val="000000"/>
                <w:sz w:val="18"/>
                <w:szCs w:val="18"/>
                <w:lang w:eastAsia="en-AU"/>
              </w:rPr>
            </w:pPr>
            <w:r w:rsidRPr="00FE7970">
              <w:rPr>
                <w:rFonts w:cs="Times New Roman"/>
                <w:color w:val="000000"/>
                <w:sz w:val="18"/>
                <w:szCs w:val="18"/>
                <w:lang w:eastAsia="en-AU"/>
              </w:rPr>
              <w:t>(n=</w:t>
            </w:r>
            <w:r w:rsidR="004B7A40">
              <w:rPr>
                <w:rFonts w:cs="Times New Roman"/>
                <w:color w:val="000000"/>
                <w:sz w:val="18"/>
                <w:szCs w:val="18"/>
                <w:lang w:eastAsia="en-AU"/>
              </w:rPr>
              <w:t>14</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0</w:t>
            </w:r>
            <w:r w:rsidR="00502C28">
              <w:rPr>
                <w:rFonts w:cs="Times New Roman"/>
                <w:color w:val="000000"/>
                <w:sz w:val="18"/>
                <w:szCs w:val="18"/>
                <w:lang w:eastAsia="en-AU"/>
              </w:rPr>
              <w:t>/</w:t>
            </w:r>
            <w:r w:rsidR="004B7A40">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4B7A40" w:rsidP="00AD68EA">
            <w:pPr>
              <w:spacing w:after="0"/>
              <w:jc w:val="center"/>
              <w:rPr>
                <w:rFonts w:cs="Times New Roman"/>
                <w:color w:val="000000"/>
                <w:sz w:val="18"/>
                <w:szCs w:val="18"/>
                <w:lang w:eastAsia="en-AU"/>
              </w:rPr>
            </w:pPr>
            <w:r>
              <w:rPr>
                <w:rFonts w:cs="Times New Roman"/>
                <w:color w:val="000000"/>
                <w:sz w:val="18"/>
                <w:szCs w:val="18"/>
                <w:lang w:eastAsia="en-AU"/>
              </w:rPr>
              <w:t>10</w:t>
            </w:r>
            <w:r w:rsidR="00AD68EA">
              <w:rPr>
                <w:rFonts w:cs="Times New Roman"/>
                <w:color w:val="000000"/>
                <w:sz w:val="18"/>
                <w:szCs w:val="18"/>
                <w:lang w:eastAsia="en-AU"/>
              </w:rPr>
              <w:t>/</w:t>
            </w:r>
            <w:r>
              <w:rPr>
                <w:rFonts w:cs="Times New Roman"/>
                <w:color w:val="000000"/>
                <w:sz w:val="18"/>
                <w:szCs w:val="18"/>
                <w:lang w:eastAsia="en-AU"/>
              </w:rPr>
              <w:t>14</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4/</w:t>
            </w:r>
            <w:r w:rsidR="004B7A40">
              <w:rPr>
                <w:rFonts w:cs="Times New Roman"/>
                <w:color w:val="000000"/>
                <w:sz w:val="18"/>
                <w:szCs w:val="18"/>
                <w:lang w:eastAsia="en-AU"/>
              </w:rPr>
              <w:t>14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0</w:t>
            </w:r>
            <w:r w:rsidR="00502C28">
              <w:rPr>
                <w:rFonts w:cs="Times New Roman"/>
                <w:color w:val="000000"/>
                <w:sz w:val="18"/>
                <w:szCs w:val="18"/>
                <w:lang w:eastAsia="en-AU"/>
              </w:rPr>
              <w:t>/</w:t>
            </w:r>
            <w:r w:rsidR="004B7A40">
              <w:rPr>
                <w:rFonts w:cs="Times New Roman"/>
                <w:color w:val="000000"/>
                <w:sz w:val="18"/>
                <w:szCs w:val="18"/>
                <w:lang w:eastAsia="en-AU"/>
              </w:rPr>
              <w:t>14</w:t>
            </w:r>
          </w:p>
        </w:tc>
      </w:tr>
      <w:tr w:rsidR="00AD68EA" w:rsidRPr="00FE7970" w:rsidTr="00C4546F">
        <w:trPr>
          <w:trHeight w:val="536"/>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D68EA" w:rsidRPr="00FE7970" w:rsidRDefault="00AD68EA" w:rsidP="00AD68EA">
            <w:pPr>
              <w:spacing w:before="0" w:after="0"/>
              <w:rPr>
                <w:rFonts w:cs="Times New Roman"/>
                <w:color w:val="000000"/>
                <w:sz w:val="18"/>
                <w:szCs w:val="18"/>
                <w:lang w:eastAsia="en-AU"/>
              </w:rPr>
            </w:pPr>
            <w:r w:rsidRPr="00FE7970">
              <w:rPr>
                <w:rFonts w:cs="Times New Roman"/>
                <w:color w:val="000000"/>
                <w:sz w:val="18"/>
                <w:szCs w:val="18"/>
                <w:lang w:eastAsia="en-AU"/>
              </w:rPr>
              <w:t>Unspecified</w:t>
            </w:r>
          </w:p>
          <w:p w:rsidR="00AD68EA" w:rsidRPr="00FE7970" w:rsidRDefault="00AD68EA" w:rsidP="00AD68EA">
            <w:pPr>
              <w:spacing w:before="0" w:after="0"/>
              <w:rPr>
                <w:rFonts w:cs="Times New Roman"/>
                <w:color w:val="000000"/>
                <w:sz w:val="18"/>
                <w:szCs w:val="18"/>
                <w:lang w:eastAsia="en-AU"/>
              </w:rPr>
            </w:pPr>
            <w:r>
              <w:rPr>
                <w:rFonts w:cs="Times New Roman"/>
                <w:color w:val="000000"/>
                <w:sz w:val="18"/>
                <w:szCs w:val="18"/>
                <w:lang w:eastAsia="en-AU"/>
              </w:rPr>
              <w:t>(n= 10</w:t>
            </w:r>
            <w:r w:rsidRPr="00FE7970">
              <w:rPr>
                <w:rFonts w:cs="Times New Roman"/>
                <w:color w:val="000000"/>
                <w:sz w:val="18"/>
                <w:szCs w:val="18"/>
                <w:lang w:eastAsia="en-AU"/>
              </w:rPr>
              <w:t>)</w:t>
            </w:r>
          </w:p>
        </w:tc>
        <w:tc>
          <w:tcPr>
            <w:tcW w:w="1032"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1/10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AD68EA" w:rsidP="00AD68EA">
            <w:pPr>
              <w:spacing w:after="0"/>
              <w:jc w:val="center"/>
              <w:rPr>
                <w:rFonts w:cs="Times New Roman"/>
                <w:color w:val="000000"/>
                <w:sz w:val="18"/>
                <w:szCs w:val="18"/>
                <w:lang w:eastAsia="en-AU"/>
              </w:rPr>
            </w:pPr>
            <w:r>
              <w:rPr>
                <w:rFonts w:cs="Times New Roman"/>
                <w:color w:val="000000"/>
                <w:sz w:val="18"/>
                <w:szCs w:val="18"/>
                <w:lang w:eastAsia="en-AU"/>
              </w:rPr>
              <w:t>7/10</w:t>
            </w:r>
          </w:p>
        </w:tc>
        <w:tc>
          <w:tcPr>
            <w:tcW w:w="873"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2A16A7" w:rsidP="00AD68EA">
            <w:pPr>
              <w:spacing w:after="0"/>
              <w:jc w:val="center"/>
              <w:rPr>
                <w:rFonts w:cs="Times New Roman"/>
                <w:color w:val="000000"/>
                <w:sz w:val="18"/>
                <w:szCs w:val="18"/>
                <w:lang w:eastAsia="en-AU"/>
              </w:rPr>
            </w:pPr>
            <w:r>
              <w:rPr>
                <w:rFonts w:cs="Times New Roman"/>
                <w:color w:val="000000"/>
                <w:sz w:val="18"/>
                <w:szCs w:val="18"/>
                <w:lang w:eastAsia="en-AU"/>
              </w:rPr>
              <w:t>0</w:t>
            </w:r>
            <w:r w:rsidR="00AD68EA">
              <w:rPr>
                <w:rFonts w:cs="Times New Roman"/>
                <w:color w:val="000000"/>
                <w:sz w:val="18"/>
                <w:szCs w:val="18"/>
                <w:lang w:eastAsia="en-AU"/>
              </w:rPr>
              <w:t>/10</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rsidR="00AD68EA" w:rsidRPr="00921485" w:rsidRDefault="002A16A7" w:rsidP="00AD68EA">
            <w:pPr>
              <w:spacing w:after="0"/>
              <w:jc w:val="center"/>
              <w:rPr>
                <w:rFonts w:cs="Times New Roman"/>
                <w:color w:val="000000"/>
                <w:sz w:val="18"/>
                <w:szCs w:val="18"/>
                <w:lang w:eastAsia="en-AU"/>
              </w:rPr>
            </w:pPr>
            <w:r>
              <w:rPr>
                <w:rFonts w:cs="Times New Roman"/>
                <w:color w:val="000000"/>
                <w:sz w:val="18"/>
                <w:szCs w:val="18"/>
                <w:lang w:eastAsia="en-AU"/>
              </w:rPr>
              <w:t>2/10</w:t>
            </w:r>
          </w:p>
        </w:tc>
      </w:tr>
    </w:tbl>
    <w:p w:rsidR="00533407" w:rsidRDefault="00533407" w:rsidP="00533407">
      <w:pPr>
        <w:pStyle w:val="Heading4"/>
      </w:pPr>
      <w:r w:rsidRPr="0044799A">
        <w:t xml:space="preserve">Qualitative </w:t>
      </w:r>
      <w:r w:rsidR="0060225B">
        <w:t>responses</w:t>
      </w:r>
    </w:p>
    <w:p w:rsidR="008F70BB" w:rsidRPr="008D3757" w:rsidRDefault="008F70BB" w:rsidP="00EC02D0">
      <w:pPr>
        <w:pStyle w:val="Bullet"/>
        <w:numPr>
          <w:ilvl w:val="0"/>
          <w:numId w:val="0"/>
        </w:numPr>
      </w:pPr>
      <w:r>
        <w:t>Qualitative responses (those that aligned with the consultation protocol and those that did not align with the consultation protocol) from all organisations and individual stakeholders were</w:t>
      </w:r>
      <w:r w:rsidRPr="0044799A">
        <w:t xml:space="preserve"> analysed and then </w:t>
      </w:r>
      <w:r>
        <w:t xml:space="preserve">presented below </w:t>
      </w:r>
      <w:r w:rsidRPr="008D3757">
        <w:t>according to</w:t>
      </w:r>
      <w:r>
        <w:t xml:space="preserve"> themes. </w:t>
      </w:r>
      <w:r w:rsidRPr="008D3757">
        <w:t>These themes include:</w:t>
      </w:r>
    </w:p>
    <w:p w:rsidR="00420222" w:rsidRDefault="003D139E" w:rsidP="00EC02D0">
      <w:pPr>
        <w:pStyle w:val="Bullet"/>
      </w:pPr>
      <w:r>
        <w:t>S</w:t>
      </w:r>
      <w:r w:rsidR="00420222" w:rsidRPr="006F3215">
        <w:t>mo</w:t>
      </w:r>
      <w:r w:rsidR="0060225B">
        <w:t>ke-free environment legislation</w:t>
      </w:r>
    </w:p>
    <w:p w:rsidR="00420222" w:rsidRDefault="003D139E" w:rsidP="00EC02D0">
      <w:pPr>
        <w:pStyle w:val="Bullet"/>
      </w:pPr>
      <w:r>
        <w:t>C</w:t>
      </w:r>
      <w:r w:rsidR="00420222" w:rsidRPr="005B4033">
        <w:t>hanges in social norms around smoking</w:t>
      </w:r>
      <w:r>
        <w:t>; and</w:t>
      </w:r>
    </w:p>
    <w:p w:rsidR="00420222" w:rsidRDefault="003D139E" w:rsidP="00EC02D0">
      <w:pPr>
        <w:pStyle w:val="Bullet"/>
      </w:pPr>
      <w:r>
        <w:t>Exposure</w:t>
      </w:r>
      <w:r w:rsidR="00420222">
        <w:t xml:space="preserve"> to smoke.</w:t>
      </w:r>
    </w:p>
    <w:p w:rsidR="00BB3D99" w:rsidRDefault="00BB3D99" w:rsidP="00A4776C">
      <w:pPr>
        <w:pStyle w:val="Heading5"/>
      </w:pPr>
      <w:bookmarkStart w:id="128" w:name="_Toc418420330"/>
      <w:bookmarkStart w:id="129" w:name="_Toc418770514"/>
      <w:bookmarkStart w:id="130" w:name="_Toc419889590"/>
      <w:bookmarkStart w:id="131" w:name="_Toc422478394"/>
      <w:r w:rsidRPr="00C54F4B">
        <w:lastRenderedPageBreak/>
        <w:t>Smoke-free environment legislation</w:t>
      </w:r>
      <w:bookmarkEnd w:id="128"/>
      <w:bookmarkEnd w:id="129"/>
      <w:bookmarkEnd w:id="130"/>
      <w:bookmarkEnd w:id="131"/>
    </w:p>
    <w:p w:rsidR="00BB3D99" w:rsidRPr="008839FA" w:rsidRDefault="0007295B" w:rsidP="00DB1316">
      <w:r>
        <w:t xml:space="preserve">Stakeholders across all </w:t>
      </w:r>
      <w:r w:rsidR="00BB3D99" w:rsidRPr="008839FA">
        <w:t xml:space="preserve">groups (tobacco companies, retailers, tobacco wholesalers and importers, tobacco packaging manufacturers, public health organisations and experts, government departments, </w:t>
      </w:r>
      <w:r w:rsidR="00AD5ED5">
        <w:t xml:space="preserve">all </w:t>
      </w:r>
      <w:r w:rsidR="002D7E3D">
        <w:t xml:space="preserve">NGOs, </w:t>
      </w:r>
      <w:r w:rsidR="00BB3D99" w:rsidRPr="008839FA">
        <w:t>consumers</w:t>
      </w:r>
      <w:r w:rsidR="002D7E3D">
        <w:t>, others and unspecified</w:t>
      </w:r>
      <w:r w:rsidR="00BB3D99" w:rsidRPr="008839FA">
        <w:t xml:space="preserve">) </w:t>
      </w:r>
      <w:r w:rsidR="00DF7093">
        <w:t xml:space="preserve">who provided positive, negative and unsure ratings </w:t>
      </w:r>
      <w:r w:rsidR="001455CF">
        <w:t>believe</w:t>
      </w:r>
      <w:r w:rsidR="00BB3D99" w:rsidRPr="008839FA">
        <w:t xml:space="preserve"> that smoke-free environment legislation has had the greatest impact on reducing people’s exposure to smoke from tobac</w:t>
      </w:r>
      <w:r w:rsidR="001455CF">
        <w:t xml:space="preserve">co products. </w:t>
      </w:r>
      <w:r w:rsidR="006F4B66" w:rsidRPr="006F4B66">
        <w:t>They did not cite any sources to support their view.</w:t>
      </w:r>
    </w:p>
    <w:p w:rsidR="00BB3D99" w:rsidRDefault="00BB3D99" w:rsidP="00A4776C">
      <w:pPr>
        <w:pStyle w:val="Heading5"/>
      </w:pPr>
      <w:bookmarkStart w:id="132" w:name="_Toc418420331"/>
      <w:bookmarkStart w:id="133" w:name="_Toc418770515"/>
      <w:bookmarkStart w:id="134" w:name="_Toc419889591"/>
      <w:bookmarkStart w:id="135" w:name="_Toc422478395"/>
      <w:r w:rsidRPr="005B4033">
        <w:t>Changes in social norms around smoking</w:t>
      </w:r>
      <w:bookmarkEnd w:id="132"/>
      <w:bookmarkEnd w:id="133"/>
      <w:bookmarkEnd w:id="134"/>
      <w:bookmarkEnd w:id="135"/>
    </w:p>
    <w:p w:rsidR="001C7A2B" w:rsidRDefault="00785561" w:rsidP="001C7A2B">
      <w:r w:rsidRPr="0095669E">
        <w:t xml:space="preserve">Given that </w:t>
      </w:r>
      <w:r w:rsidR="00416DF1">
        <w:t xml:space="preserve">tobacco plain packaging </w:t>
      </w:r>
      <w:r w:rsidRPr="0095669E">
        <w:t xml:space="preserve">has </w:t>
      </w:r>
      <w:r w:rsidR="004402C8">
        <w:t>reinforced</w:t>
      </w:r>
      <w:r w:rsidRPr="0095669E">
        <w:t xml:space="preserve"> the harmful effects of smoking, </w:t>
      </w:r>
      <w:r w:rsidR="0080094C">
        <w:t xml:space="preserve">most </w:t>
      </w:r>
      <w:r w:rsidRPr="0095669E">
        <w:t>public health organisations and experts</w:t>
      </w:r>
      <w:r w:rsidR="0080094C">
        <w:t xml:space="preserve"> and a small number of </w:t>
      </w:r>
      <w:r w:rsidR="00922FFD">
        <w:t>retailers</w:t>
      </w:r>
      <w:r w:rsidRPr="0095669E">
        <w:t xml:space="preserve"> believe that smokers are more aware of the impact of their smoking on others</w:t>
      </w:r>
      <w:r>
        <w:t>. As a result, t</w:t>
      </w:r>
      <w:r w:rsidR="004402C8">
        <w:t xml:space="preserve">hese </w:t>
      </w:r>
      <w:r w:rsidR="00BF6EDB">
        <w:t xml:space="preserve">stakeholders </w:t>
      </w:r>
      <w:r>
        <w:t>suggest that smokers are more conscious about</w:t>
      </w:r>
      <w:r w:rsidRPr="0095669E">
        <w:t xml:space="preserve"> where they smoke (i.e. their proximity to others), and non-smokers are more assertive about people smoking </w:t>
      </w:r>
      <w:r>
        <w:t>near them</w:t>
      </w:r>
      <w:r w:rsidRPr="0095669E">
        <w:t>.</w:t>
      </w:r>
      <w:r w:rsidR="001C7A2B">
        <w:t xml:space="preserve"> </w:t>
      </w:r>
      <w:r w:rsidR="00922FFD">
        <w:t xml:space="preserve">Some </w:t>
      </w:r>
      <w:r w:rsidR="001C7A2B">
        <w:t>r</w:t>
      </w:r>
      <w:r w:rsidR="001C7A2B" w:rsidRPr="0095669E">
        <w:t xml:space="preserve">etailers and </w:t>
      </w:r>
      <w:r w:rsidR="00922FFD">
        <w:t xml:space="preserve">many </w:t>
      </w:r>
      <w:r w:rsidR="008E1F87">
        <w:t>consumers</w:t>
      </w:r>
      <w:r w:rsidR="001C7A2B" w:rsidRPr="0095669E">
        <w:t xml:space="preserve"> </w:t>
      </w:r>
      <w:r w:rsidR="001C7A2B">
        <w:t xml:space="preserve">believe that </w:t>
      </w:r>
      <w:r w:rsidR="00416DF1">
        <w:t xml:space="preserve">tobacco plain packaging </w:t>
      </w:r>
      <w:r w:rsidR="001C7A2B" w:rsidRPr="0095669E">
        <w:t xml:space="preserve">has contributed to the segregation of smokers from non-smokers and increased </w:t>
      </w:r>
      <w:r w:rsidR="001C7A2B">
        <w:t xml:space="preserve">the </w:t>
      </w:r>
      <w:r w:rsidR="001C7A2B" w:rsidRPr="0095669E">
        <w:t>stigmatisation of smokers</w:t>
      </w:r>
      <w:r w:rsidR="001C7A2B">
        <w:t xml:space="preserve">. </w:t>
      </w:r>
      <w:r w:rsidR="00376125">
        <w:t>These stakeholders</w:t>
      </w:r>
      <w:r w:rsidR="00376125" w:rsidRPr="00376125">
        <w:t xml:space="preserve"> did not c</w:t>
      </w:r>
      <w:r w:rsidR="00376125">
        <w:t>ite any sources to support these</w:t>
      </w:r>
      <w:r w:rsidR="00376125" w:rsidRPr="00376125">
        <w:t xml:space="preserve"> view</w:t>
      </w:r>
      <w:r w:rsidR="00376125">
        <w:t>s</w:t>
      </w:r>
      <w:r w:rsidR="00376125" w:rsidRPr="00376125">
        <w:t>.</w:t>
      </w:r>
    </w:p>
    <w:p w:rsidR="00DF5552" w:rsidRDefault="00DF5552" w:rsidP="00DF5552">
      <w:bookmarkStart w:id="136" w:name="_Toc422478396"/>
      <w:bookmarkStart w:id="137" w:name="_Toc418420332"/>
      <w:bookmarkStart w:id="138" w:name="_Toc418770516"/>
      <w:bookmarkStart w:id="139" w:name="_Toc419889592"/>
      <w:proofErr w:type="spellStart"/>
      <w:r>
        <w:t>Z</w:t>
      </w:r>
      <w:r w:rsidR="00C721E3">
        <w:t>acher</w:t>
      </w:r>
      <w:proofErr w:type="spellEnd"/>
      <w:r w:rsidR="00C721E3">
        <w:t xml:space="preserve"> et al, 2014, </w:t>
      </w:r>
      <w:r w:rsidR="0093102D">
        <w:t>2015 and Wakefield, 2014 were</w:t>
      </w:r>
      <w:r>
        <w:t xml:space="preserve"> peer reviewed s</w:t>
      </w:r>
      <w:r w:rsidRPr="00940E5D">
        <w:t xml:space="preserve">ources </w:t>
      </w:r>
      <w:r>
        <w:t xml:space="preserve">which were </w:t>
      </w:r>
      <w:r w:rsidRPr="00940E5D">
        <w:t xml:space="preserve">cited by public </w:t>
      </w:r>
      <w:r>
        <w:t xml:space="preserve">health organisation and expert </w:t>
      </w:r>
      <w:r>
        <w:rPr>
          <w:szCs w:val="20"/>
        </w:rPr>
        <w:t>stakeholder/s</w:t>
      </w:r>
      <w:r>
        <w:t xml:space="preserve">, and government department </w:t>
      </w:r>
      <w:r>
        <w:rPr>
          <w:szCs w:val="20"/>
        </w:rPr>
        <w:t>stakeholder/s</w:t>
      </w:r>
      <w:r>
        <w:t xml:space="preserve"> as </w:t>
      </w:r>
      <w:r w:rsidR="00FE0748">
        <w:t>showing</w:t>
      </w:r>
      <w:r>
        <w:t xml:space="preserve"> that tobacco plain packaging </w:t>
      </w:r>
      <w:r w:rsidRPr="004D1F48">
        <w:t>may</w:t>
      </w:r>
      <w:r w:rsidRPr="001F5B9F">
        <w:t xml:space="preserve"> </w:t>
      </w:r>
      <w:r>
        <w:t xml:space="preserve">have had an </w:t>
      </w:r>
      <w:r w:rsidRPr="003B1DFA">
        <w:t>impact on personal pack display and active smoking outdoors (e.g. on café strips and around children</w:t>
      </w:r>
      <w:r w:rsidR="0093102D">
        <w:t>).</w:t>
      </w:r>
      <w:r w:rsidRPr="003B1DFA">
        <w:t xml:space="preserve"> For example, they referred to a </w:t>
      </w:r>
      <w:r w:rsidR="00C721E3">
        <w:t xml:space="preserve">number of </w:t>
      </w:r>
      <w:r w:rsidR="00850BFD">
        <w:t xml:space="preserve">peer reviewed articles </w:t>
      </w:r>
      <w:r w:rsidRPr="003B1DFA">
        <w:t xml:space="preserve">by </w:t>
      </w:r>
      <w:proofErr w:type="spellStart"/>
      <w:r w:rsidRPr="003B1DFA">
        <w:t>Zacher</w:t>
      </w:r>
      <w:proofErr w:type="spellEnd"/>
      <w:r w:rsidRPr="003B1DFA">
        <w:t xml:space="preserve"> et al</w:t>
      </w:r>
      <w:r>
        <w:t>,</w:t>
      </w:r>
      <w:r w:rsidRPr="003B1DFA">
        <w:t xml:space="preserve"> </w:t>
      </w:r>
      <w:r w:rsidR="00C721E3">
        <w:t xml:space="preserve">2014 and </w:t>
      </w:r>
      <w:r w:rsidRPr="003B1DFA">
        <w:t>2015</w:t>
      </w:r>
      <w:r w:rsidR="004B6942">
        <w:t xml:space="preserve"> </w:t>
      </w:r>
      <w:r w:rsidR="00850BFD">
        <w:t>which were</w:t>
      </w:r>
      <w:r w:rsidR="004B6942">
        <w:t xml:space="preserve"> cited as showing that</w:t>
      </w:r>
      <w:r w:rsidRPr="003B1DFA">
        <w:t xml:space="preserve"> after the introduction of tobacco plain packaging </w:t>
      </w:r>
      <w:r w:rsidR="00850BFD">
        <w:t xml:space="preserve">there was </w:t>
      </w:r>
      <w:r w:rsidRPr="003B1DFA">
        <w:t>a significant decline in active smoking in outdoor areas, particularly in venues where children were present and an accompanying decrease in personal pack display. Further, they refer</w:t>
      </w:r>
      <w:r w:rsidR="00850BFD">
        <w:t>red</w:t>
      </w:r>
      <w:r w:rsidRPr="003B1DFA">
        <w:t xml:space="preserve"> to an observational study conducted by Wakefield et al</w:t>
      </w:r>
      <w:r>
        <w:t>,</w:t>
      </w:r>
      <w:r w:rsidR="00A338D6">
        <w:t xml:space="preserve"> </w:t>
      </w:r>
      <w:r w:rsidRPr="003B1DFA">
        <w:t>2014</w:t>
      </w:r>
      <w:r>
        <w:t xml:space="preserve"> </w:t>
      </w:r>
      <w:r w:rsidR="004B6942">
        <w:t>(</w:t>
      </w:r>
      <w:r>
        <w:t>peer reviewed article</w:t>
      </w:r>
      <w:r w:rsidR="004B6942">
        <w:t>)</w:t>
      </w:r>
      <w:r>
        <w:t>,</w:t>
      </w:r>
      <w:r w:rsidRPr="003B1DFA">
        <w:t xml:space="preserve"> after the introduction of the measure which suggests that packs were displayed less often in venues where children were present, suggesting a greater tendency not to smoke around children. Stakeholders also note that these studies: are clear that it was not possible to determine if the reduction in smoking was a direct effect of the tobacco plain packaging legislation or the result of decreased prevalence of smoking overall; the changing of social norms; that it is conceivable that smokers also chose to light up less often in public to avoid being judged by those who saw them with plain packs or to avoid feeling uncomfortable about smoking. Some p</w:t>
      </w:r>
      <w:r w:rsidRPr="003B1DFA">
        <w:rPr>
          <w:lang w:eastAsia="en-AU"/>
        </w:rPr>
        <w:t xml:space="preserve">ublic health organisation and expert </w:t>
      </w:r>
      <w:r w:rsidRPr="003B1DFA">
        <w:rPr>
          <w:szCs w:val="20"/>
        </w:rPr>
        <w:t>stakeholder/s</w:t>
      </w:r>
      <w:r w:rsidRPr="003B1DFA">
        <w:rPr>
          <w:lang w:eastAsia="en-AU"/>
        </w:rPr>
        <w:t xml:space="preserve">, government department </w:t>
      </w:r>
      <w:r w:rsidRPr="003B1DFA">
        <w:rPr>
          <w:szCs w:val="20"/>
        </w:rPr>
        <w:t>stakeholder/s</w:t>
      </w:r>
      <w:r w:rsidRPr="003B1DFA">
        <w:rPr>
          <w:lang w:eastAsia="en-AU"/>
        </w:rPr>
        <w:t xml:space="preserve"> and health related NGO </w:t>
      </w:r>
      <w:r w:rsidRPr="003B1DFA">
        <w:rPr>
          <w:szCs w:val="20"/>
        </w:rPr>
        <w:t>stakeholder/s</w:t>
      </w:r>
      <w:r w:rsidRPr="003B1DFA">
        <w:rPr>
          <w:lang w:eastAsia="en-AU"/>
        </w:rPr>
        <w:t xml:space="preserve"> also referred to</w:t>
      </w:r>
      <w:r>
        <w:rPr>
          <w:lang w:eastAsia="en-AU"/>
        </w:rPr>
        <w:t xml:space="preserve"> the </w:t>
      </w:r>
      <w:r w:rsidRPr="003B1DFA">
        <w:rPr>
          <w:lang w:eastAsia="en-AU"/>
        </w:rPr>
        <w:t>National</w:t>
      </w:r>
      <w:r>
        <w:t xml:space="preserve"> Drug Strategy Household Survey 2013, </w:t>
      </w:r>
      <w:r w:rsidRPr="00355B41">
        <w:rPr>
          <w:lang w:eastAsia="en-AU"/>
        </w:rPr>
        <w:t>(</w:t>
      </w:r>
      <w:r>
        <w:rPr>
          <w:lang w:eastAsia="en-AU"/>
        </w:rPr>
        <w:t>AIHW</w:t>
      </w:r>
      <w:r w:rsidRPr="00355B41">
        <w:rPr>
          <w:lang w:eastAsia="en-AU"/>
        </w:rPr>
        <w:t>, 2014</w:t>
      </w:r>
      <w:r>
        <w:rPr>
          <w:lang w:eastAsia="en-AU"/>
        </w:rPr>
        <w:t>)</w:t>
      </w:r>
      <w:r w:rsidRPr="00355B41">
        <w:rPr>
          <w:lang w:eastAsia="en-AU"/>
        </w:rPr>
        <w:t xml:space="preserve"> </w:t>
      </w:r>
      <w:r>
        <w:t>which was cited as showing that</w:t>
      </w:r>
      <w:r>
        <w:rPr>
          <w:lang w:eastAsia="en-AU"/>
        </w:rPr>
        <w:t xml:space="preserve"> </w:t>
      </w:r>
      <w:r w:rsidRPr="003B1DFA">
        <w:rPr>
          <w:lang w:eastAsia="en-AU"/>
        </w:rPr>
        <w:t>in 2013, dependent children were far</w:t>
      </w:r>
      <w:r w:rsidRPr="003045DE">
        <w:rPr>
          <w:lang w:eastAsia="en-AU"/>
        </w:rPr>
        <w:t xml:space="preserve"> less likely to be exposed t</w:t>
      </w:r>
      <w:r>
        <w:rPr>
          <w:lang w:eastAsia="en-AU"/>
        </w:rPr>
        <w:t>o tobacco smoke inside the home</w:t>
      </w:r>
      <w:r w:rsidRPr="003045DE">
        <w:rPr>
          <w:lang w:eastAsia="en-AU"/>
        </w:rPr>
        <w:t xml:space="preserve"> (3.7% </w:t>
      </w:r>
      <w:r>
        <w:rPr>
          <w:lang w:eastAsia="en-AU"/>
        </w:rPr>
        <w:t xml:space="preserve">in 2013 </w:t>
      </w:r>
      <w:r w:rsidRPr="003045DE">
        <w:rPr>
          <w:lang w:eastAsia="en-AU"/>
        </w:rPr>
        <w:t>compared to</w:t>
      </w:r>
      <w:r>
        <w:rPr>
          <w:lang w:eastAsia="en-AU"/>
        </w:rPr>
        <w:t xml:space="preserve"> 31% in 1995)</w:t>
      </w:r>
      <w:r w:rsidRPr="003045DE">
        <w:rPr>
          <w:lang w:eastAsia="en-AU"/>
        </w:rPr>
        <w:t>.</w:t>
      </w:r>
    </w:p>
    <w:p w:rsidR="001C7A2B" w:rsidRDefault="000B65DF" w:rsidP="00A4776C">
      <w:pPr>
        <w:pStyle w:val="Heading5"/>
      </w:pPr>
      <w:r>
        <w:t>Exposure to smoke</w:t>
      </w:r>
      <w:bookmarkEnd w:id="136"/>
      <w:bookmarkEnd w:id="137"/>
      <w:bookmarkEnd w:id="138"/>
      <w:bookmarkEnd w:id="139"/>
    </w:p>
    <w:p w:rsidR="001F5B9F" w:rsidRDefault="00922FFD" w:rsidP="008971C2">
      <w:pPr>
        <w:rPr>
          <w:lang w:eastAsia="en-AU"/>
        </w:rPr>
      </w:pPr>
      <w:r>
        <w:t>Most p</w:t>
      </w:r>
      <w:r w:rsidR="00176E33">
        <w:t xml:space="preserve">ublic health </w:t>
      </w:r>
      <w:r w:rsidR="00A01F2D">
        <w:t xml:space="preserve">organisation and expert </w:t>
      </w:r>
      <w:r w:rsidR="00A01F2D">
        <w:rPr>
          <w:szCs w:val="20"/>
        </w:rPr>
        <w:t>stakeholder/s</w:t>
      </w:r>
      <w:r w:rsidR="00176E33">
        <w:t xml:space="preserve">, </w:t>
      </w:r>
      <w:r w:rsidR="006F5570">
        <w:t xml:space="preserve">government </w:t>
      </w:r>
      <w:r w:rsidR="00A01F2D">
        <w:t xml:space="preserve">department </w:t>
      </w:r>
      <w:r w:rsidR="00A01F2D">
        <w:rPr>
          <w:szCs w:val="20"/>
        </w:rPr>
        <w:t>stakeholder/s</w:t>
      </w:r>
      <w:r w:rsidR="006F5570" w:rsidRPr="004402C8">
        <w:t xml:space="preserve">, </w:t>
      </w:r>
      <w:r w:rsidR="00A01F2D">
        <w:t xml:space="preserve">health related NGO </w:t>
      </w:r>
      <w:r w:rsidR="00A01F2D">
        <w:rPr>
          <w:szCs w:val="20"/>
        </w:rPr>
        <w:t>stakeholder/s</w:t>
      </w:r>
      <w:r w:rsidRPr="004402C8">
        <w:t xml:space="preserve"> and some</w:t>
      </w:r>
      <w:r>
        <w:t xml:space="preserve"> </w:t>
      </w:r>
      <w:r w:rsidR="006F5570">
        <w:t>retailers</w:t>
      </w:r>
      <w:r w:rsidR="00176E33">
        <w:t xml:space="preserve"> </w:t>
      </w:r>
      <w:r w:rsidR="00DF7093">
        <w:t xml:space="preserve">who provided a positive rating </w:t>
      </w:r>
      <w:r w:rsidR="003045DE">
        <w:t>believe</w:t>
      </w:r>
      <w:r w:rsidR="001C7A2B">
        <w:t xml:space="preserve"> that </w:t>
      </w:r>
      <w:r w:rsidR="00416DF1">
        <w:t xml:space="preserve">tobacco plain packaging </w:t>
      </w:r>
      <w:r w:rsidR="001C7A2B">
        <w:t>may indirectly impact</w:t>
      </w:r>
      <w:r w:rsidR="001C7A2B" w:rsidRPr="00E72323">
        <w:t xml:space="preserve"> people’s exposure to smoke, in so far as it reduce</w:t>
      </w:r>
      <w:r w:rsidR="0028647F">
        <w:t>s</w:t>
      </w:r>
      <w:r w:rsidR="001C7A2B" w:rsidRPr="00E72323">
        <w:t xml:space="preserve"> the total number of people who smoke.</w:t>
      </w:r>
      <w:r w:rsidR="001C7A2B">
        <w:t xml:space="preserve"> </w:t>
      </w:r>
      <w:r w:rsidR="003045DE">
        <w:rPr>
          <w:lang w:eastAsia="en-AU"/>
        </w:rPr>
        <w:t>Public health advocates recognised that</w:t>
      </w:r>
      <w:r w:rsidR="0021526A">
        <w:rPr>
          <w:lang w:eastAsia="en-AU"/>
        </w:rPr>
        <w:t xml:space="preserve">, due to the implementation of </w:t>
      </w:r>
      <w:r w:rsidR="00416DF1">
        <w:rPr>
          <w:lang w:eastAsia="en-AU"/>
        </w:rPr>
        <w:t xml:space="preserve">tobacco plain packaging </w:t>
      </w:r>
      <w:r w:rsidR="0021526A">
        <w:rPr>
          <w:lang w:eastAsia="en-AU"/>
        </w:rPr>
        <w:t>along with a</w:t>
      </w:r>
      <w:r w:rsidR="003045DE">
        <w:rPr>
          <w:lang w:eastAsia="en-AU"/>
        </w:rPr>
        <w:t xml:space="preserve"> broad range of </w:t>
      </w:r>
      <w:r w:rsidR="004402C8">
        <w:rPr>
          <w:lang w:eastAsia="en-AU"/>
        </w:rPr>
        <w:t xml:space="preserve">other </w:t>
      </w:r>
      <w:r w:rsidR="003045DE">
        <w:rPr>
          <w:lang w:eastAsia="en-AU"/>
        </w:rPr>
        <w:t>tobacco control measures</w:t>
      </w:r>
      <w:r w:rsidR="0021526A">
        <w:rPr>
          <w:lang w:eastAsia="en-AU"/>
        </w:rPr>
        <w:t xml:space="preserve">, it </w:t>
      </w:r>
      <w:r w:rsidR="004402C8">
        <w:rPr>
          <w:lang w:eastAsia="en-AU"/>
        </w:rPr>
        <w:t>is</w:t>
      </w:r>
      <w:r w:rsidR="0021526A">
        <w:rPr>
          <w:lang w:eastAsia="en-AU"/>
        </w:rPr>
        <w:t xml:space="preserve"> difficult to determine the </w:t>
      </w:r>
      <w:r w:rsidR="004402C8">
        <w:rPr>
          <w:lang w:eastAsia="en-AU"/>
        </w:rPr>
        <w:t xml:space="preserve">unique </w:t>
      </w:r>
      <w:r w:rsidR="0021526A">
        <w:rPr>
          <w:lang w:eastAsia="en-AU"/>
        </w:rPr>
        <w:t xml:space="preserve">contribution of </w:t>
      </w:r>
      <w:r w:rsidR="00416DF1">
        <w:rPr>
          <w:lang w:eastAsia="en-AU"/>
        </w:rPr>
        <w:t xml:space="preserve">tobacco plain packaging </w:t>
      </w:r>
      <w:r w:rsidR="0021526A">
        <w:rPr>
          <w:lang w:eastAsia="en-AU"/>
        </w:rPr>
        <w:t xml:space="preserve">on exposure to smoke. </w:t>
      </w:r>
      <w:r w:rsidR="004402C8">
        <w:rPr>
          <w:lang w:eastAsia="en-AU"/>
        </w:rPr>
        <w:t xml:space="preserve">These </w:t>
      </w:r>
      <w:r w:rsidR="00BF6EDB">
        <w:rPr>
          <w:lang w:eastAsia="en-AU"/>
        </w:rPr>
        <w:t>stakeholders</w:t>
      </w:r>
      <w:r w:rsidR="004402C8">
        <w:rPr>
          <w:lang w:eastAsia="en-AU"/>
        </w:rPr>
        <w:t xml:space="preserve"> did note</w:t>
      </w:r>
      <w:r w:rsidR="0021526A">
        <w:rPr>
          <w:lang w:eastAsia="en-AU"/>
        </w:rPr>
        <w:t xml:space="preserve"> that it was intended that </w:t>
      </w:r>
      <w:r w:rsidR="004402C8">
        <w:rPr>
          <w:lang w:eastAsia="en-AU"/>
        </w:rPr>
        <w:t>all tobacco control measures</w:t>
      </w:r>
      <w:r w:rsidR="003045DE">
        <w:rPr>
          <w:lang w:eastAsia="en-AU"/>
        </w:rPr>
        <w:t xml:space="preserve"> work together to reduce the number of people </w:t>
      </w:r>
      <w:r w:rsidR="003045DE">
        <w:rPr>
          <w:lang w:eastAsia="en-AU"/>
        </w:rPr>
        <w:lastRenderedPageBreak/>
        <w:t xml:space="preserve">smoking and therefore reduce </w:t>
      </w:r>
      <w:r w:rsidR="00921FBB">
        <w:rPr>
          <w:lang w:eastAsia="en-AU"/>
        </w:rPr>
        <w:t xml:space="preserve">peoples’ exposure to smoke. </w:t>
      </w:r>
      <w:r w:rsidR="00376125">
        <w:rPr>
          <w:lang w:eastAsia="en-AU"/>
        </w:rPr>
        <w:t>These stakeholders</w:t>
      </w:r>
      <w:r w:rsidR="00376125" w:rsidRPr="00376125">
        <w:rPr>
          <w:lang w:eastAsia="en-AU"/>
        </w:rPr>
        <w:t xml:space="preserve"> did not c</w:t>
      </w:r>
      <w:r w:rsidR="00376125">
        <w:rPr>
          <w:lang w:eastAsia="en-AU"/>
        </w:rPr>
        <w:t>ite any sources to support these</w:t>
      </w:r>
      <w:r w:rsidR="00376125" w:rsidRPr="00376125">
        <w:rPr>
          <w:lang w:eastAsia="en-AU"/>
        </w:rPr>
        <w:t xml:space="preserve"> view</w:t>
      </w:r>
      <w:r w:rsidR="00376125">
        <w:rPr>
          <w:lang w:eastAsia="en-AU"/>
        </w:rPr>
        <w:t>s</w:t>
      </w:r>
      <w:r w:rsidR="00376125" w:rsidRPr="00376125">
        <w:rPr>
          <w:lang w:eastAsia="en-AU"/>
        </w:rPr>
        <w:t>.</w:t>
      </w:r>
    </w:p>
    <w:p w:rsidR="007F08F7" w:rsidRDefault="001F5B9F" w:rsidP="008971C2">
      <w:r>
        <w:t>In</w:t>
      </w:r>
      <w:r w:rsidR="00FA014E">
        <w:t xml:space="preserve"> contrast, </w:t>
      </w:r>
      <w:r w:rsidR="006F5570">
        <w:t xml:space="preserve">the remaining </w:t>
      </w:r>
      <w:r w:rsidR="000778B4">
        <w:t>r</w:t>
      </w:r>
      <w:r w:rsidR="001C7A2B">
        <w:t>etai</w:t>
      </w:r>
      <w:r w:rsidR="00A01F2D">
        <w:t xml:space="preserve">lers and non-health related NGO </w:t>
      </w:r>
      <w:r w:rsidR="00A01F2D">
        <w:rPr>
          <w:szCs w:val="20"/>
        </w:rPr>
        <w:t>stakeholder/s</w:t>
      </w:r>
      <w:r w:rsidR="001C7A2B">
        <w:t xml:space="preserve"> </w:t>
      </w:r>
      <w:proofErr w:type="gramStart"/>
      <w:r w:rsidR="00D90C74">
        <w:t>who</w:t>
      </w:r>
      <w:proofErr w:type="gramEnd"/>
      <w:r w:rsidR="00D90C74">
        <w:t xml:space="preserve"> provided negative ratings </w:t>
      </w:r>
      <w:r w:rsidR="00176E33">
        <w:t>believe that</w:t>
      </w:r>
      <w:r w:rsidR="001C7A2B">
        <w:t xml:space="preserve"> the same number of people </w:t>
      </w:r>
      <w:r w:rsidR="00176E33">
        <w:t xml:space="preserve">(or more) </w:t>
      </w:r>
      <w:r w:rsidR="001C7A2B">
        <w:t xml:space="preserve">are smoking, </w:t>
      </w:r>
      <w:r w:rsidR="008D7177">
        <w:t>and therefore</w:t>
      </w:r>
      <w:r w:rsidR="001C7A2B">
        <w:t xml:space="preserve"> people’s exposure to smoke has not changed. </w:t>
      </w:r>
      <w:r w:rsidR="00A01F2D">
        <w:t xml:space="preserve">Tobacco company </w:t>
      </w:r>
      <w:r w:rsidR="00A01F2D">
        <w:rPr>
          <w:szCs w:val="20"/>
        </w:rPr>
        <w:t>stakeholder/s</w:t>
      </w:r>
      <w:r w:rsidR="007F08F7">
        <w:t xml:space="preserve"> and tobacco wholesalers and importers did not make any </w:t>
      </w:r>
      <w:r w:rsidR="004402C8">
        <w:t xml:space="preserve">specific </w:t>
      </w:r>
      <w:r w:rsidR="007F08F7">
        <w:t xml:space="preserve">comments </w:t>
      </w:r>
      <w:r w:rsidR="007B284C">
        <w:t xml:space="preserve">about </w:t>
      </w:r>
      <w:r w:rsidR="007F08F7">
        <w:t>the overall number of people smoking and how this may im</w:t>
      </w:r>
      <w:r w:rsidR="00376125">
        <w:t>pact people’s exposure to smoke or</w:t>
      </w:r>
      <w:r w:rsidR="00376125" w:rsidRPr="00376125">
        <w:t xml:space="preserve"> cite any sources to support their view.</w:t>
      </w:r>
    </w:p>
    <w:p w:rsidR="00A83BE8" w:rsidRDefault="00A83BE8" w:rsidP="001B42C7">
      <w:pPr>
        <w:spacing w:before="60" w:after="60"/>
      </w:pPr>
      <w:r>
        <w:t>Those pub</w:t>
      </w:r>
      <w:r w:rsidR="00A01F2D">
        <w:t xml:space="preserve">lic health organisation and expert </w:t>
      </w:r>
      <w:r w:rsidR="00A01F2D">
        <w:rPr>
          <w:szCs w:val="20"/>
        </w:rPr>
        <w:t>stakeholder/s</w:t>
      </w:r>
      <w:r w:rsidR="00A01F2D">
        <w:t xml:space="preserve">, government department </w:t>
      </w:r>
      <w:r w:rsidR="00A01F2D">
        <w:rPr>
          <w:szCs w:val="20"/>
        </w:rPr>
        <w:t>stakeholder/s</w:t>
      </w:r>
      <w:r w:rsidR="00A01F2D">
        <w:t xml:space="preserve"> and health related NGO </w:t>
      </w:r>
      <w:r w:rsidR="00A01F2D">
        <w:rPr>
          <w:szCs w:val="20"/>
        </w:rPr>
        <w:t>stakeholder/s</w:t>
      </w:r>
      <w:r>
        <w:t xml:space="preserve"> who were unsure whether tobacco plain packaging had an impact on reducing exposure to smoke reported that: </w:t>
      </w:r>
      <w:r w:rsidR="00CD2B28">
        <w:t>they were not aware of any evidence and noted it would be very difficult to determine whether the measure had a direc</w:t>
      </w:r>
      <w:r w:rsidR="0060225B">
        <w:t>t impact on exposure to smoke.</w:t>
      </w:r>
    </w:p>
    <w:p w:rsidR="00627E18" w:rsidRDefault="00627E18" w:rsidP="00627E18">
      <w:pPr>
        <w:spacing w:before="60" w:after="60"/>
      </w:pPr>
      <w:r>
        <w:t xml:space="preserve">The small number of retailers and consumers who were ‘unsure’ whether the measure has had an impact either noted that: smoking had been declining anyway so it would be difficult to determine whether tobacco plain packaging had an impact on exposure to smoke from tobacco products; reported that smoking bans and other tobacco control measures banning smoking have had the greatest impact on relapse; did not provide a qualitative response to explain their rating; </w:t>
      </w:r>
      <w:r w:rsidRPr="00E62376">
        <w:t xml:space="preserve"> </w:t>
      </w:r>
      <w:r>
        <w:t>provided a response which did not relate to the objective or that was not relevant to any questions asked as part of the consultation process.</w:t>
      </w:r>
      <w:r w:rsidR="00954F00" w:rsidRPr="00954F00">
        <w:t xml:space="preserve"> </w:t>
      </w:r>
      <w:r w:rsidR="00954F00">
        <w:t>These stakeholders</w:t>
      </w:r>
      <w:r w:rsidR="00954F00" w:rsidRPr="00954F00">
        <w:t xml:space="preserve"> did not cite any sources to support their view.</w:t>
      </w:r>
    </w:p>
    <w:p w:rsidR="007056D4" w:rsidRPr="00C168CD" w:rsidRDefault="00175D16" w:rsidP="00D06FF2">
      <w:pPr>
        <w:spacing w:before="60" w:after="60"/>
      </w:pPr>
      <w:r>
        <w:t>Table 20</w:t>
      </w:r>
      <w:r w:rsidR="007056D4" w:rsidRPr="00C168CD">
        <w:t xml:space="preserve"> presents a sample of stakeholder views across groups in order to ill</w:t>
      </w:r>
      <w:r w:rsidR="0060225B">
        <w:t>ustrate the diversity of views.</w:t>
      </w:r>
    </w:p>
    <w:p w:rsidR="007056D4" w:rsidRPr="00BC2BBC" w:rsidRDefault="00175D16" w:rsidP="00192E2B">
      <w:pPr>
        <w:pStyle w:val="TblHeading"/>
      </w:pPr>
      <w:proofErr w:type="gramStart"/>
      <w:r>
        <w:t>Table 20</w:t>
      </w:r>
      <w:r w:rsidR="007056D4" w:rsidRPr="00C168CD">
        <w:t>.</w:t>
      </w:r>
      <w:proofErr w:type="gramEnd"/>
      <w:r w:rsidR="007056D4" w:rsidRPr="00C168CD">
        <w:t xml:space="preserve"> </w:t>
      </w:r>
      <w:r w:rsidR="00843A11" w:rsidRPr="00C168CD">
        <w:t>Examples</w:t>
      </w:r>
      <w:r w:rsidR="0060225B">
        <w:t xml:space="preserve"> of stakeholder views</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 xml:space="preserve"> “Reductions in smoking behaviours, including through less people taking it up, more smokers quitting or smokers reducing the amount of tobacco they consume when near others will logically result in reduced exposure to second-hand smoke (SHS) to those who are in their vicinity. In addition, as social norms have changed, remaining smokers have been far more aware of the impact their smoking has on others and have taken measures to smoke outside and to remove themselves from close proximity to others when consuming tobacco. </w:t>
      </w:r>
      <w:proofErr w:type="gramStart"/>
      <w:r w:rsidRPr="00A263EC">
        <w:t xml:space="preserve">Legislative measures such as the introduction of </w:t>
      </w:r>
      <w:r>
        <w:t xml:space="preserve">tobacco plain packaging </w:t>
      </w:r>
      <w:r w:rsidRPr="00A263EC">
        <w:t>and increased that reduces</w:t>
      </w:r>
      <w:proofErr w:type="gramEnd"/>
      <w:r w:rsidRPr="00A263EC">
        <w:t xml:space="preserve"> when and where people smoke or further changes social norms will also have a flow on effect of reducing exposure to SHS.” </w:t>
      </w:r>
      <w:r w:rsidRPr="00937D28">
        <w:t>(Public health organisation/expert)</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“We found that smoking is more stigmatised….smoking becomes less of a public activity. People are less exposed to smoking, and it has become a less acceptable public activity.”</w:t>
      </w:r>
      <w:r>
        <w:t xml:space="preserve"> </w:t>
      </w:r>
      <w:r w:rsidRPr="00937D28">
        <w:t>(Public health organisation/expert)</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 xml:space="preserve"> “I think </w:t>
      </w:r>
      <w:r>
        <w:t xml:space="preserve">tobacco plain packaging </w:t>
      </w:r>
      <w:r w:rsidRPr="00A263EC">
        <w:t>reduces the number of people smoking and the uptake and so there is less people smoking and therefore fewer people are going to be exposed to tobacco smoke.”</w:t>
      </w:r>
      <w:r>
        <w:t xml:space="preserve"> </w:t>
      </w:r>
      <w:r w:rsidRPr="00937D28">
        <w:t>(Public health organisation/expert)</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 xml:space="preserve">“We take complaints through on our helpline from people living in multi-unit dwellings that are incensed that they might have a neighbour smoking, with the smoke blowing into their lot. Not only have we been overwhelmed by complains but so has the government, which has prompted a review by our Attorney-General with regards to laws with the body corporate/community. It’s demonising smoking.” </w:t>
      </w:r>
      <w:r w:rsidRPr="00937D28">
        <w:t>(Public health organisation/expert)</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“If there are less people smoking then there will be less exposure, but I don’t think the tobacco</w:t>
      </w:r>
      <w:r>
        <w:t xml:space="preserve"> plain packaging </w:t>
      </w:r>
      <w:r w:rsidRPr="00A263EC">
        <w:t>measure, per se, makes a difference to that.”</w:t>
      </w:r>
      <w:r>
        <w:t xml:space="preserve"> </w:t>
      </w:r>
      <w:r w:rsidRPr="00937D28">
        <w:t>(Public health organisation/expert)</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 xml:space="preserve"> “It only reduces exposure as far as it reduces demand of smoking. It’s only so far as people stop smoking that they aren’t exposing other people.” </w:t>
      </w:r>
      <w:r w:rsidRPr="00937D28">
        <w:t>(Government department stakeholder)</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lastRenderedPageBreak/>
        <w:t xml:space="preserve">“It (plain packaging) may not be a prime mover in that space but it certainly would have an effect and from our point of view it would be a positive effect towards reducing exposure.” </w:t>
      </w:r>
      <w:r w:rsidRPr="00937D28">
        <w:t>(Government department stakeholder)</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w:t>
      </w:r>
      <w:r>
        <w:t>[</w:t>
      </w:r>
      <w:proofErr w:type="gramStart"/>
      <w:r>
        <w:t>plain</w:t>
      </w:r>
      <w:proofErr w:type="gramEnd"/>
      <w:r>
        <w:t xml:space="preserve"> packaging] h</w:t>
      </w:r>
      <w:r w:rsidRPr="00A263EC">
        <w:t>as a role to play in reducing exposure- but this is very m</w:t>
      </w:r>
      <w:r>
        <w:t xml:space="preserve">uch within the broader context </w:t>
      </w:r>
      <w:r w:rsidRPr="00A263EC">
        <w:t xml:space="preserve">of tobacco control action to create supportive smoke-free environments.” </w:t>
      </w:r>
      <w:r w:rsidRPr="00937D28">
        <w:t>(Government department stakeholder)</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 xml:space="preserve"> “While [X tobacco company] supports regulation of smoking in many public places, [X tobacco company]  does not accept that changing the packaging of tobacco products has been shown to change where people smoke or otherwise had a (relevant) impact regarding environmental tobacco smoke.” </w:t>
      </w:r>
      <w:r>
        <w:t xml:space="preserve">(Tobacco </w:t>
      </w:r>
      <w:proofErr w:type="gramStart"/>
      <w:r>
        <w:t>company</w:t>
      </w:r>
      <w:proofErr w:type="gramEnd"/>
      <w:r>
        <w:t>)</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 xml:space="preserve"> “People's exposure to smoke has been reduced from laws not permitting smoking in the workplace, restaurants, bars, </w:t>
      </w:r>
      <w:proofErr w:type="spellStart"/>
      <w:r w:rsidRPr="00A263EC">
        <w:t>etc</w:t>
      </w:r>
      <w:proofErr w:type="spellEnd"/>
      <w:r w:rsidRPr="00A263EC">
        <w:t>, not from plain packaging.”</w:t>
      </w:r>
      <w:r>
        <w:t>(Retailer)</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 xml:space="preserve"> “We can only comment from a retail perspective, in terms of actual sales data and the logistical impact of </w:t>
      </w:r>
      <w:r>
        <w:t xml:space="preserve">tobacco plain packaging </w:t>
      </w:r>
      <w:r w:rsidRPr="00A263EC">
        <w:t xml:space="preserve">on retailers. Nevertheless it stands to reason that with no proven or noticeable change in the way tobacco is used by consumers, there would be no to little impact on people’s exposure to smoke.” </w:t>
      </w:r>
      <w:r w:rsidRPr="00937D28">
        <w:t>(Retailer)</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proofErr w:type="gramStart"/>
      <w:r w:rsidRPr="00A263EC">
        <w:t>“A bit of a stretch to think this.</w:t>
      </w:r>
      <w:proofErr w:type="gramEnd"/>
      <w:r w:rsidRPr="00A263EC">
        <w:t xml:space="preserve"> Legislation targeting smoking areas is largely more effective.”</w:t>
      </w:r>
      <w:r>
        <w:t xml:space="preserve"> </w:t>
      </w:r>
      <w:r w:rsidRPr="00937D28">
        <w:t>(Retailer)</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 xml:space="preserve"> “The thing that has had a bigger impact is the minimisation of places where you can smoke - this has had effect not the plain packaging.”</w:t>
      </w:r>
      <w:r>
        <w:t xml:space="preserve"> (Tobacco wholesaler and importer)</w:t>
      </w:r>
    </w:p>
    <w:p w:rsidR="00576EDC" w:rsidRPr="00B80B83"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 xml:space="preserve">“I don’t think it’s relevant. Second-hand smoke has nothing to do with </w:t>
      </w:r>
      <w:r>
        <w:t>what the packaging looks like.” (Tobacco wholesaler and importer)</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 xml:space="preserve"> “The broader smoke-free measures, banning smoking in public places and discouraging people from smoking near children have been most effective in reducing people's exposure to smoke.”</w:t>
      </w:r>
      <w:proofErr w:type="gramStart"/>
      <w:r>
        <w:t xml:space="preserve">( </w:t>
      </w:r>
      <w:r w:rsidRPr="00D3177E">
        <w:t>Health</w:t>
      </w:r>
      <w:proofErr w:type="gramEnd"/>
      <w:r w:rsidRPr="00D3177E">
        <w:t xml:space="preserve"> related NGO</w:t>
      </w:r>
      <w:r>
        <w:t>)</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 xml:space="preserve"> “Given that household expenditure on tobacco has not declined, it is reasonable to assume that the exposure to others from tobacco products may also not have been reduced as a result of the introduction of plain packaging.” </w:t>
      </w:r>
      <w:r>
        <w:t>(Non h</w:t>
      </w:r>
      <w:r w:rsidRPr="00D3177E">
        <w:t>ealth related NGO</w:t>
      </w:r>
      <w:r>
        <w:t>)</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 xml:space="preserve"> “I have ways been courteous to non-smokers by respecting their space when smoking. The packaging has not created this, my respect of others has.”</w:t>
      </w:r>
      <w:r>
        <w:t>(Consumer)</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“Banning smoking everywhere has reduced exposure to passive smoke, not the packaging!”</w:t>
      </w:r>
      <w:r>
        <w:t xml:space="preserve"> (Consumer)</w:t>
      </w:r>
    </w:p>
    <w:p w:rsidR="00576EDC" w:rsidRPr="00A263EC" w:rsidRDefault="00576EDC" w:rsidP="00576EDC">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pPr>
      <w:r w:rsidRPr="00A263EC">
        <w:t>“</w:t>
      </w:r>
      <w:r>
        <w:t xml:space="preserve">Tobacco plain packaging </w:t>
      </w:r>
      <w:r w:rsidRPr="00A263EC">
        <w:t xml:space="preserve">is irrelevant to smokers. Social disapproval has discouraged smokers from smoking around non-smokers, but </w:t>
      </w:r>
      <w:r>
        <w:t>tobacco plain packaging does not affect this.” (Consumer)</w:t>
      </w:r>
    </w:p>
    <w:p w:rsidR="009C2B00" w:rsidRPr="00A263EC" w:rsidRDefault="00DE3F40" w:rsidP="0018586D">
      <w:pPr>
        <w:pStyle w:val="Heading2"/>
        <w:numPr>
          <w:ilvl w:val="1"/>
          <w:numId w:val="13"/>
        </w:numPr>
      </w:pPr>
      <w:r>
        <w:br w:type="page"/>
      </w:r>
      <w:bookmarkStart w:id="140" w:name="_Toc418770517"/>
      <w:bookmarkStart w:id="141" w:name="_Toc444007954"/>
      <w:r w:rsidR="00356448">
        <w:lastRenderedPageBreak/>
        <w:t>Stakeholder opinions on the</w:t>
      </w:r>
      <w:r w:rsidR="009C2B00" w:rsidRPr="00A263EC">
        <w:t xml:space="preserve"> </w:t>
      </w:r>
      <w:r w:rsidR="0005239A">
        <w:t xml:space="preserve">positive and negative </w:t>
      </w:r>
      <w:r w:rsidR="009C2B00" w:rsidRPr="00A263EC">
        <w:t>impact</w:t>
      </w:r>
      <w:r w:rsidR="0005239A">
        <w:t>s</w:t>
      </w:r>
      <w:r w:rsidR="009C2B00" w:rsidRPr="00A263EC">
        <w:t xml:space="preserve"> of the tobacco</w:t>
      </w:r>
      <w:r w:rsidR="00416DF1">
        <w:t xml:space="preserve"> plain packaging </w:t>
      </w:r>
      <w:r w:rsidR="009C2B00" w:rsidRPr="00A263EC">
        <w:t>measure</w:t>
      </w:r>
      <w:bookmarkEnd w:id="140"/>
      <w:r w:rsidR="00DC01A5">
        <w:t xml:space="preserve"> on themselves and other groups</w:t>
      </w:r>
      <w:bookmarkEnd w:id="141"/>
    </w:p>
    <w:p w:rsidR="00996A35" w:rsidRPr="003D7EBB" w:rsidRDefault="00996A35" w:rsidP="00EC02D0">
      <w:pPr>
        <w:pStyle w:val="Bullet"/>
        <w:numPr>
          <w:ilvl w:val="0"/>
          <w:numId w:val="0"/>
        </w:numPr>
        <w:ind w:left="360" w:hanging="360"/>
      </w:pPr>
      <w:r w:rsidRPr="003D7EBB">
        <w:t>This section of the report presents:</w:t>
      </w:r>
    </w:p>
    <w:p w:rsidR="00996A35" w:rsidRPr="00EC6ED1" w:rsidRDefault="003D139E" w:rsidP="00EC02D0">
      <w:pPr>
        <w:pStyle w:val="Bullet"/>
      </w:pPr>
      <w:r>
        <w:t>S</w:t>
      </w:r>
      <w:r w:rsidR="00996A35" w:rsidRPr="003D7EBB">
        <w:t xml:space="preserve">takeholder perceptions about </w:t>
      </w:r>
      <w:r w:rsidR="00996A35">
        <w:t xml:space="preserve">the impact of </w:t>
      </w:r>
      <w:r w:rsidR="00996A35" w:rsidRPr="00276B5E">
        <w:t>the tobacco</w:t>
      </w:r>
      <w:r w:rsidR="00996A35">
        <w:t xml:space="preserve"> plain packaging </w:t>
      </w:r>
      <w:r w:rsidR="00996A35" w:rsidRPr="00276B5E">
        <w:t>measu</w:t>
      </w:r>
      <w:r w:rsidR="00996A35">
        <w:t>re on themselves and/or on the</w:t>
      </w:r>
      <w:r w:rsidR="00996A35" w:rsidRPr="00276B5E">
        <w:t xml:space="preserve"> organisation</w:t>
      </w:r>
      <w:r w:rsidR="00996A35">
        <w:t xml:space="preserve"> they were representing</w:t>
      </w:r>
      <w:r w:rsidR="00996A35" w:rsidRPr="00276B5E">
        <w:t>, and indicate</w:t>
      </w:r>
      <w:r w:rsidR="003E343D">
        <w:t>s</w:t>
      </w:r>
      <w:r w:rsidR="00996A35" w:rsidRPr="00276B5E">
        <w:t xml:space="preserve"> whether they believed the measure</w:t>
      </w:r>
      <w:r w:rsidR="00996A35">
        <w:t xml:space="preserve"> has </w:t>
      </w:r>
      <w:r w:rsidR="00996A35" w:rsidRPr="00276B5E">
        <w:t xml:space="preserve">had any </w:t>
      </w:r>
      <w:r w:rsidR="00996A35" w:rsidRPr="00EC6ED1">
        <w:t xml:space="preserve">positive </w:t>
      </w:r>
      <w:r w:rsidR="00996A35">
        <w:t xml:space="preserve">and/or negative </w:t>
      </w:r>
      <w:r w:rsidR="00996A35" w:rsidRPr="00EC6ED1">
        <w:t>impacts at the economic, socia</w:t>
      </w:r>
      <w:r w:rsidR="00996A35">
        <w:t>l, and environmental levels</w:t>
      </w:r>
      <w:r>
        <w:t>; and</w:t>
      </w:r>
    </w:p>
    <w:p w:rsidR="00996A35" w:rsidRDefault="003D139E" w:rsidP="00EC02D0">
      <w:pPr>
        <w:pStyle w:val="Bullet"/>
      </w:pPr>
      <w:r w:rsidRPr="003D7EBB">
        <w:t>Stakeholder</w:t>
      </w:r>
      <w:r w:rsidR="00996A35" w:rsidRPr="003D7EBB">
        <w:t xml:space="preserve"> perceptions about </w:t>
      </w:r>
      <w:r w:rsidR="00996A35">
        <w:t>the major</w:t>
      </w:r>
      <w:r w:rsidR="00996A35" w:rsidRPr="00EC6ED1">
        <w:t xml:space="preserve"> costs and benefits</w:t>
      </w:r>
      <w:r w:rsidR="00996A35" w:rsidRPr="006C12C5">
        <w:t xml:space="preserve"> of the </w:t>
      </w:r>
      <w:r w:rsidR="00996A35">
        <w:t xml:space="preserve">tobacco plain </w:t>
      </w:r>
      <w:r w:rsidR="0060225B">
        <w:t>packaging measure.</w:t>
      </w:r>
    </w:p>
    <w:p w:rsidR="00996A35" w:rsidRPr="00922770" w:rsidRDefault="00996A35" w:rsidP="00922770">
      <w:pPr>
        <w:rPr>
          <w:rStyle w:val="SubtleEmphasis"/>
          <w:rFonts w:ascii="Times New Roman" w:hAnsi="Times New Roman" w:cs="Times New Roman"/>
          <w:sz w:val="24"/>
        </w:rPr>
      </w:pPr>
      <w:r w:rsidRPr="00922770">
        <w:rPr>
          <w:rStyle w:val="SubtleEmphasis"/>
          <w:rFonts w:ascii="Times New Roman" w:hAnsi="Times New Roman" w:cs="Times New Roman"/>
          <w:sz w:val="24"/>
        </w:rPr>
        <w:t>It also:</w:t>
      </w:r>
    </w:p>
    <w:p w:rsidR="00996A35" w:rsidRPr="00C168CD" w:rsidRDefault="003D139E" w:rsidP="00EC02D0">
      <w:pPr>
        <w:pStyle w:val="Bullet"/>
        <w:rPr>
          <w:rStyle w:val="SubtleEmphasis"/>
          <w:rFonts w:ascii="Times New Roman" w:hAnsi="Times New Roman"/>
          <w:iCs w:val="0"/>
          <w:sz w:val="24"/>
        </w:rPr>
      </w:pPr>
      <w:r>
        <w:rPr>
          <w:rStyle w:val="SubtleEmphasis"/>
          <w:rFonts w:ascii="Times New Roman" w:hAnsi="Times New Roman"/>
          <w:iCs w:val="0"/>
          <w:sz w:val="24"/>
        </w:rPr>
        <w:t>D</w:t>
      </w:r>
      <w:r w:rsidR="00996A35" w:rsidRPr="00C168CD">
        <w:rPr>
          <w:rStyle w:val="SubtleEmphasis"/>
          <w:rFonts w:ascii="Times New Roman" w:hAnsi="Times New Roman"/>
          <w:iCs w:val="0"/>
          <w:sz w:val="24"/>
        </w:rPr>
        <w:t xml:space="preserve">raws </w:t>
      </w:r>
      <w:r w:rsidR="00996A35" w:rsidRPr="008A3D2E">
        <w:rPr>
          <w:rStyle w:val="SubtleEmphasis"/>
          <w:rFonts w:ascii="Times New Roman" w:hAnsi="Times New Roman"/>
          <w:iCs w:val="0"/>
          <w:sz w:val="24"/>
        </w:rPr>
        <w:t xml:space="preserve">together a summary of findings of stakeholder interviews and written submissions (refer to </w:t>
      </w:r>
      <w:r w:rsidR="008A3D2E" w:rsidRPr="008A3D2E">
        <w:rPr>
          <w:rStyle w:val="SubtleEmphasis"/>
          <w:rFonts w:ascii="Times New Roman" w:hAnsi="Times New Roman"/>
          <w:iCs w:val="0"/>
          <w:sz w:val="24"/>
        </w:rPr>
        <w:t>Table 21</w:t>
      </w:r>
      <w:r w:rsidR="00996A35" w:rsidRPr="008A3D2E">
        <w:rPr>
          <w:rStyle w:val="SubtleEmphasis"/>
          <w:rFonts w:ascii="Times New Roman" w:hAnsi="Times New Roman"/>
          <w:iCs w:val="0"/>
          <w:sz w:val="24"/>
        </w:rPr>
        <w:t>)</w:t>
      </w:r>
      <w:r w:rsidRPr="008A3D2E">
        <w:rPr>
          <w:rStyle w:val="SubtleEmphasis"/>
          <w:rFonts w:ascii="Times New Roman" w:hAnsi="Times New Roman"/>
          <w:iCs w:val="0"/>
          <w:sz w:val="24"/>
        </w:rPr>
        <w:t>;</w:t>
      </w:r>
    </w:p>
    <w:p w:rsidR="00996A35" w:rsidRPr="00996A35" w:rsidRDefault="003D139E" w:rsidP="00EC02D0">
      <w:pPr>
        <w:pStyle w:val="Bullet"/>
        <w:rPr>
          <w:rStyle w:val="SubtleEmphasis"/>
          <w:rFonts w:ascii="Times New Roman" w:hAnsi="Times New Roman"/>
          <w:iCs w:val="0"/>
          <w:sz w:val="24"/>
        </w:rPr>
      </w:pPr>
      <w:r>
        <w:rPr>
          <w:rStyle w:val="SubtleEmphasis"/>
          <w:rFonts w:ascii="Times New Roman" w:hAnsi="Times New Roman"/>
          <w:iCs w:val="0"/>
          <w:sz w:val="24"/>
        </w:rPr>
        <w:t>P</w:t>
      </w:r>
      <w:r w:rsidR="00996A35" w:rsidRPr="00996A35">
        <w:rPr>
          <w:rStyle w:val="SubtleEmphasis"/>
          <w:rFonts w:ascii="Times New Roman" w:hAnsi="Times New Roman"/>
          <w:iCs w:val="0"/>
          <w:sz w:val="24"/>
        </w:rPr>
        <w:t>resents a high level summary of the views of stakeholders and does not seek to critique whether the statements are accurate</w:t>
      </w:r>
      <w:r>
        <w:rPr>
          <w:rStyle w:val="SubtleEmphasis"/>
          <w:rFonts w:ascii="Times New Roman" w:hAnsi="Times New Roman"/>
          <w:iCs w:val="0"/>
          <w:sz w:val="24"/>
        </w:rPr>
        <w:t>; and</w:t>
      </w:r>
    </w:p>
    <w:p w:rsidR="00FF735C" w:rsidRPr="00961073" w:rsidRDefault="003D139E" w:rsidP="00EC02D0">
      <w:pPr>
        <w:pStyle w:val="Bullet"/>
      </w:pPr>
      <w:r>
        <w:t>Presents</w:t>
      </w:r>
      <w:r w:rsidR="00FF735C">
        <w:t xml:space="preserve"> </w:t>
      </w:r>
      <w:r w:rsidR="00FF735C" w:rsidRPr="00961073">
        <w:t xml:space="preserve">verbatim comments from stakeholders who participated in the consultation process </w:t>
      </w:r>
      <w:r w:rsidR="00FF735C" w:rsidRPr="00706B60">
        <w:t>in order to il</w:t>
      </w:r>
      <w:r w:rsidR="00FF735C">
        <w:t>lustrate the diversity of views</w:t>
      </w:r>
      <w:r w:rsidR="0060225B">
        <w:t>.</w:t>
      </w:r>
    </w:p>
    <w:p w:rsidR="00576EDC" w:rsidRPr="002C2EFE" w:rsidRDefault="00576EDC" w:rsidP="00576EDC">
      <w:pPr>
        <w:pStyle w:val="BulletPoints"/>
        <w:numPr>
          <w:ilvl w:val="0"/>
          <w:numId w:val="0"/>
        </w:numPr>
        <w:pBdr>
          <w:top w:val="single" w:sz="4" w:space="1" w:color="auto"/>
          <w:left w:val="single" w:sz="4" w:space="4" w:color="auto"/>
          <w:bottom w:val="single" w:sz="4" w:space="1" w:color="auto"/>
          <w:right w:val="single" w:sz="4" w:space="4" w:color="auto"/>
        </w:pBdr>
        <w:shd w:val="clear" w:color="auto" w:fill="FDE9D9" w:themeFill="accent6" w:themeFillTint="33"/>
        <w:spacing w:after="120"/>
        <w:rPr>
          <w:rFonts w:cs="Times New Roman"/>
          <w:b/>
        </w:rPr>
      </w:pPr>
      <w:r w:rsidRPr="002C2EFE">
        <w:rPr>
          <w:rFonts w:cs="Times New Roman"/>
          <w:b/>
        </w:rPr>
        <w:t>Caution when inte</w:t>
      </w:r>
      <w:r w:rsidR="0060225B">
        <w:rPr>
          <w:rFonts w:cs="Times New Roman"/>
          <w:b/>
        </w:rPr>
        <w:t>rpreting qualitative responses</w:t>
      </w:r>
    </w:p>
    <w:p w:rsidR="00576EDC" w:rsidRPr="00BE16F8" w:rsidRDefault="00576EDC" w:rsidP="00576EDC">
      <w:pPr>
        <w:pStyle w:val="BulletPoints"/>
        <w:numPr>
          <w:ilvl w:val="0"/>
          <w:numId w:val="0"/>
        </w:numPr>
        <w:pBdr>
          <w:top w:val="single" w:sz="4" w:space="1" w:color="auto"/>
          <w:left w:val="single" w:sz="4" w:space="4" w:color="auto"/>
          <w:bottom w:val="single" w:sz="4" w:space="1" w:color="auto"/>
          <w:right w:val="single" w:sz="4" w:space="4" w:color="auto"/>
        </w:pBdr>
        <w:shd w:val="clear" w:color="auto" w:fill="FDE9D9" w:themeFill="accent6" w:themeFillTint="33"/>
        <w:spacing w:after="120"/>
        <w:rPr>
          <w:rFonts w:cs="Times New Roman"/>
        </w:rPr>
      </w:pPr>
      <w:r>
        <w:rPr>
          <w:rFonts w:cs="Times New Roman"/>
        </w:rPr>
        <w:t>It is important to note that:</w:t>
      </w:r>
    </w:p>
    <w:p w:rsidR="00576EDC" w:rsidRDefault="00576EDC" w:rsidP="00EC02D0">
      <w:pPr>
        <w:pStyle w:val="Bullet"/>
        <w:pBdr>
          <w:top w:val="single" w:sz="4" w:space="1" w:color="auto"/>
          <w:left w:val="single" w:sz="4" w:space="4" w:color="auto"/>
          <w:bottom w:val="single" w:sz="4" w:space="1" w:color="auto"/>
          <w:right w:val="single" w:sz="4" w:space="4" w:color="auto"/>
        </w:pBdr>
        <w:shd w:val="clear" w:color="auto" w:fill="FDE9D9" w:themeFill="accent6" w:themeFillTint="33"/>
      </w:pPr>
      <w:r>
        <w:t>Stakeholder input is a mix of presentation of evidence, organisational or sectoral stances and personal views;</w:t>
      </w:r>
    </w:p>
    <w:p w:rsidR="00576EDC" w:rsidRDefault="00576EDC" w:rsidP="00EC02D0">
      <w:pPr>
        <w:pStyle w:val="Bullet"/>
        <w:pBdr>
          <w:top w:val="single" w:sz="4" w:space="1" w:color="auto"/>
          <w:left w:val="single" w:sz="4" w:space="4" w:color="auto"/>
          <w:bottom w:val="single" w:sz="4" w:space="1" w:color="auto"/>
          <w:right w:val="single" w:sz="4" w:space="4" w:color="auto"/>
        </w:pBdr>
        <w:shd w:val="clear" w:color="auto" w:fill="FDE9D9" w:themeFill="accent6" w:themeFillTint="33"/>
      </w:pPr>
      <w:r>
        <w:t>The personal views put forward by members of the general public who responded to the call for written submissions should not be seen as representative of the Australian population as a whole;</w:t>
      </w:r>
    </w:p>
    <w:p w:rsidR="00576EDC" w:rsidRDefault="00576EDC" w:rsidP="00EC02D0">
      <w:pPr>
        <w:pStyle w:val="Bullet"/>
        <w:pBdr>
          <w:top w:val="single" w:sz="4" w:space="1" w:color="auto"/>
          <w:left w:val="single" w:sz="4" w:space="4" w:color="auto"/>
          <w:bottom w:val="single" w:sz="4" w:space="1" w:color="auto"/>
          <w:right w:val="single" w:sz="4" w:space="4" w:color="auto"/>
        </w:pBdr>
        <w:shd w:val="clear" w:color="auto" w:fill="FDE9D9" w:themeFill="accent6" w:themeFillTint="33"/>
      </w:pPr>
      <w:r>
        <w:t xml:space="preserve">Stakeholders </w:t>
      </w:r>
      <w:r w:rsidRPr="006E2494">
        <w:t xml:space="preserve">not only commented on the positive and negative impacts for the stakeholder group they represented, but also commented on impacts for other stakeholder groups (e.g. Tobacco companies commented on potential negative impacts/costs for government, and government commented on potential negative impacts/costs for the tobacco industry). For this reason some of the opinions expressed below may not </w:t>
      </w:r>
      <w:r w:rsidR="003E343D">
        <w:t xml:space="preserve">be </w:t>
      </w:r>
      <w:r w:rsidRPr="006E2494">
        <w:t>accurate</w:t>
      </w:r>
      <w:r>
        <w:t>; and</w:t>
      </w:r>
    </w:p>
    <w:p w:rsidR="00576EDC" w:rsidRPr="00BE16F8" w:rsidRDefault="00576EDC" w:rsidP="00EC02D0">
      <w:pPr>
        <w:pStyle w:val="Bullet"/>
        <w:pBdr>
          <w:top w:val="single" w:sz="4" w:space="1" w:color="auto"/>
          <w:left w:val="single" w:sz="4" w:space="4" w:color="auto"/>
          <w:bottom w:val="single" w:sz="4" w:space="1" w:color="auto"/>
          <w:right w:val="single" w:sz="4" w:space="4" w:color="auto"/>
        </w:pBdr>
        <w:shd w:val="clear" w:color="auto" w:fill="FDE9D9" w:themeFill="accent6" w:themeFillTint="33"/>
      </w:pPr>
      <w:r>
        <w:t>T</w:t>
      </w:r>
      <w:r w:rsidRPr="006E2494">
        <w:t>obacco companies did not identify any positive impacts of the measure at any of the levels.</w:t>
      </w:r>
    </w:p>
    <w:p w:rsidR="00A12F51" w:rsidRPr="000D153A" w:rsidRDefault="008A3D2E" w:rsidP="00192E2B">
      <w:pPr>
        <w:pStyle w:val="TblHeading"/>
      </w:pPr>
      <w:proofErr w:type="gramStart"/>
      <w:r>
        <w:t>Table 21</w:t>
      </w:r>
      <w:r w:rsidR="00167A2E" w:rsidRPr="00C168CD">
        <w:t>.</w:t>
      </w:r>
      <w:proofErr w:type="gramEnd"/>
      <w:r w:rsidR="00167A2E" w:rsidRPr="00C168CD">
        <w:t xml:space="preserve"> </w:t>
      </w:r>
      <w:r w:rsidR="00356448" w:rsidRPr="00C168CD">
        <w:t>Stakeholder</w:t>
      </w:r>
      <w:r w:rsidR="00356448" w:rsidRPr="000D153A">
        <w:t xml:space="preserve"> opinions on the positive and negative impacts of the measure</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able 21 shows stakeholder opinions on the positive and negative impacts of the measure.  It has three columns.  Read across for type of impact, positive impacts (benefits), and negative impacts (costs)."/>
      </w:tblPr>
      <w:tblGrid>
        <w:gridCol w:w="1157"/>
        <w:gridCol w:w="3429"/>
        <w:gridCol w:w="4486"/>
      </w:tblGrid>
      <w:tr w:rsidR="00A12F51" w:rsidRPr="001C67EF" w:rsidTr="00576EDC">
        <w:trPr>
          <w:tblHeader/>
          <w:jc w:val="center"/>
        </w:trPr>
        <w:tc>
          <w:tcPr>
            <w:tcW w:w="1157" w:type="dxa"/>
            <w:shd w:val="clear" w:color="auto" w:fill="9CC2E5"/>
          </w:tcPr>
          <w:p w:rsidR="00A12F51" w:rsidRPr="001C67EF" w:rsidRDefault="00A12F51" w:rsidP="004B22F9">
            <w:pPr>
              <w:pStyle w:val="Bullet"/>
              <w:numPr>
                <w:ilvl w:val="0"/>
                <w:numId w:val="0"/>
              </w:numPr>
              <w:spacing w:before="20" w:after="20"/>
              <w:ind w:left="360" w:hanging="360"/>
              <w:rPr>
                <w:rFonts w:cs="Times New Roman"/>
                <w:sz w:val="22"/>
                <w:szCs w:val="22"/>
              </w:rPr>
            </w:pPr>
          </w:p>
        </w:tc>
        <w:tc>
          <w:tcPr>
            <w:tcW w:w="3429" w:type="dxa"/>
            <w:shd w:val="clear" w:color="auto" w:fill="9CC2E5"/>
          </w:tcPr>
          <w:p w:rsidR="00A12F51" w:rsidRPr="001C67EF" w:rsidRDefault="00A12F51" w:rsidP="00EC02D0">
            <w:pPr>
              <w:pStyle w:val="Bullet"/>
              <w:numPr>
                <w:ilvl w:val="0"/>
                <w:numId w:val="0"/>
              </w:numPr>
              <w:spacing w:before="20" w:after="20"/>
              <w:rPr>
                <w:rFonts w:cs="Times New Roman"/>
                <w:b/>
                <w:sz w:val="22"/>
                <w:szCs w:val="22"/>
              </w:rPr>
            </w:pPr>
            <w:r w:rsidRPr="001C67EF">
              <w:rPr>
                <w:rFonts w:cs="Times New Roman"/>
                <w:b/>
                <w:sz w:val="22"/>
                <w:szCs w:val="22"/>
              </w:rPr>
              <w:t>Positive impacts (benefits)</w:t>
            </w:r>
          </w:p>
        </w:tc>
        <w:tc>
          <w:tcPr>
            <w:tcW w:w="4486" w:type="dxa"/>
            <w:shd w:val="clear" w:color="auto" w:fill="9CC2E5"/>
          </w:tcPr>
          <w:p w:rsidR="00A12F51" w:rsidRPr="001C67EF" w:rsidRDefault="00A12F51" w:rsidP="00EC02D0">
            <w:pPr>
              <w:pStyle w:val="Bullet"/>
              <w:numPr>
                <w:ilvl w:val="0"/>
                <w:numId w:val="0"/>
              </w:numPr>
              <w:spacing w:before="20" w:after="20"/>
              <w:rPr>
                <w:rFonts w:cs="Times New Roman"/>
                <w:b/>
                <w:sz w:val="22"/>
                <w:szCs w:val="22"/>
              </w:rPr>
            </w:pPr>
            <w:r w:rsidRPr="001C67EF">
              <w:rPr>
                <w:rFonts w:cs="Times New Roman"/>
                <w:b/>
                <w:sz w:val="22"/>
                <w:szCs w:val="22"/>
              </w:rPr>
              <w:t>Negative impacts (costs)</w:t>
            </w:r>
          </w:p>
        </w:tc>
      </w:tr>
      <w:tr w:rsidR="00A12F51" w:rsidRPr="001C67EF" w:rsidTr="000D153A">
        <w:trPr>
          <w:jc w:val="center"/>
        </w:trPr>
        <w:tc>
          <w:tcPr>
            <w:tcW w:w="1157" w:type="dxa"/>
            <w:shd w:val="clear" w:color="auto" w:fill="DEEAF6"/>
          </w:tcPr>
          <w:p w:rsidR="00A12F51" w:rsidRPr="001C67EF" w:rsidRDefault="00A12F51" w:rsidP="00EC02D0">
            <w:pPr>
              <w:pStyle w:val="Bullet"/>
              <w:numPr>
                <w:ilvl w:val="0"/>
                <w:numId w:val="0"/>
              </w:numPr>
              <w:spacing w:before="20" w:after="20"/>
              <w:rPr>
                <w:rFonts w:cs="Times New Roman"/>
                <w:b/>
                <w:sz w:val="22"/>
                <w:szCs w:val="22"/>
              </w:rPr>
            </w:pPr>
            <w:r w:rsidRPr="001C67EF">
              <w:rPr>
                <w:rFonts w:cs="Times New Roman"/>
                <w:b/>
                <w:sz w:val="22"/>
                <w:szCs w:val="22"/>
              </w:rPr>
              <w:t>Economic</w:t>
            </w:r>
            <w:r w:rsidR="00AF6DDE">
              <w:rPr>
                <w:rFonts w:cs="Times New Roman"/>
                <w:b/>
                <w:sz w:val="22"/>
                <w:szCs w:val="22"/>
              </w:rPr>
              <w:t xml:space="preserve"> impacts </w:t>
            </w:r>
          </w:p>
        </w:tc>
        <w:tc>
          <w:tcPr>
            <w:tcW w:w="3429" w:type="dxa"/>
            <w:shd w:val="clear" w:color="auto" w:fill="auto"/>
          </w:tcPr>
          <w:p w:rsidR="00A12F51" w:rsidRPr="001C67EF" w:rsidRDefault="0060225B" w:rsidP="00EC02D0">
            <w:pPr>
              <w:pStyle w:val="Bullet"/>
              <w:numPr>
                <w:ilvl w:val="0"/>
                <w:numId w:val="0"/>
              </w:numPr>
              <w:tabs>
                <w:tab w:val="clear" w:pos="357"/>
                <w:tab w:val="left" w:pos="175"/>
              </w:tabs>
              <w:spacing w:before="20" w:after="20"/>
              <w:ind w:left="175" w:hanging="175"/>
              <w:rPr>
                <w:rFonts w:cs="Times New Roman"/>
                <w:b/>
                <w:sz w:val="22"/>
                <w:szCs w:val="22"/>
              </w:rPr>
            </w:pPr>
            <w:r>
              <w:rPr>
                <w:rFonts w:cs="Times New Roman"/>
                <w:b/>
                <w:sz w:val="22"/>
                <w:szCs w:val="22"/>
              </w:rPr>
              <w:t>For the Australian economy</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productivity has increased as employees are taking fewer sick days as a result of reduced smoking-related illness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people are spending less of their money on tobacco products and therefore have more disposable income to sup</w:t>
            </w:r>
            <w:r w:rsidR="0060225B">
              <w:rPr>
                <w:rFonts w:cs="Times New Roman"/>
                <w:sz w:val="22"/>
                <w:szCs w:val="22"/>
              </w:rPr>
              <w:t>port the economy in other areas</w:t>
            </w:r>
          </w:p>
          <w:p w:rsidR="008C4387"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lastRenderedPageBreak/>
              <w:t>international students may wish to come to Aust</w:t>
            </w:r>
            <w:r w:rsidR="00EC6ED1" w:rsidRPr="001C67EF">
              <w:rPr>
                <w:rFonts w:cs="Times New Roman"/>
                <w:sz w:val="22"/>
                <w:szCs w:val="22"/>
              </w:rPr>
              <w:t>ralia to study public health</w:t>
            </w:r>
          </w:p>
          <w:p w:rsidR="006E0707" w:rsidRPr="008C4387" w:rsidRDefault="009D02BB" w:rsidP="00EC02D0">
            <w:pPr>
              <w:pStyle w:val="Bullet"/>
              <w:tabs>
                <w:tab w:val="clear" w:pos="357"/>
                <w:tab w:val="left" w:pos="175"/>
              </w:tabs>
              <w:spacing w:before="20" w:after="20"/>
              <w:ind w:left="175" w:hanging="175"/>
              <w:rPr>
                <w:rFonts w:cs="Times New Roman"/>
                <w:sz w:val="22"/>
                <w:szCs w:val="22"/>
              </w:rPr>
            </w:pPr>
            <w:r w:rsidRPr="008C4387">
              <w:rPr>
                <w:sz w:val="22"/>
                <w:szCs w:val="22"/>
              </w:rPr>
              <w:t>A decline in</w:t>
            </w:r>
            <w:r w:rsidR="006E0707" w:rsidRPr="008C4387">
              <w:rPr>
                <w:sz w:val="22"/>
                <w:szCs w:val="22"/>
              </w:rPr>
              <w:t xml:space="preserve"> tobacco related illness would contribute to </w:t>
            </w:r>
            <w:r w:rsidRPr="008C4387">
              <w:rPr>
                <w:sz w:val="22"/>
                <w:szCs w:val="22"/>
              </w:rPr>
              <w:t>containment</w:t>
            </w:r>
            <w:r w:rsidR="006E0707" w:rsidRPr="008C4387">
              <w:rPr>
                <w:sz w:val="22"/>
                <w:szCs w:val="22"/>
              </w:rPr>
              <w:t xml:space="preserve"> of costs in health </w:t>
            </w:r>
            <w:r w:rsidR="008C4387">
              <w:rPr>
                <w:sz w:val="22"/>
                <w:szCs w:val="22"/>
              </w:rPr>
              <w:t>for Australia.</w:t>
            </w:r>
          </w:p>
          <w:p w:rsidR="00A12F51" w:rsidRPr="001C67EF" w:rsidRDefault="0060225B" w:rsidP="00EC02D0">
            <w:pPr>
              <w:pStyle w:val="Bullet"/>
              <w:numPr>
                <w:ilvl w:val="0"/>
                <w:numId w:val="0"/>
              </w:numPr>
              <w:tabs>
                <w:tab w:val="clear" w:pos="357"/>
                <w:tab w:val="left" w:pos="175"/>
              </w:tabs>
              <w:spacing w:before="20" w:after="20"/>
              <w:ind w:left="175" w:hanging="175"/>
              <w:rPr>
                <w:rFonts w:cs="Times New Roman"/>
                <w:b/>
                <w:sz w:val="22"/>
                <w:szCs w:val="22"/>
              </w:rPr>
            </w:pPr>
            <w:r>
              <w:rPr>
                <w:rFonts w:cs="Times New Roman"/>
                <w:b/>
                <w:sz w:val="22"/>
                <w:szCs w:val="22"/>
              </w:rPr>
              <w:t>For government</w:t>
            </w:r>
          </w:p>
          <w:p w:rsidR="00A12F51" w:rsidRPr="001C67EF" w:rsidRDefault="00EC6ED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t</w:t>
            </w:r>
            <w:r w:rsidR="00A12F51" w:rsidRPr="001C67EF">
              <w:rPr>
                <w:rFonts w:cs="Times New Roman"/>
                <w:sz w:val="22"/>
                <w:szCs w:val="22"/>
              </w:rPr>
              <w:t>obacco</w:t>
            </w:r>
            <w:r w:rsidR="00416DF1" w:rsidRPr="001C67EF">
              <w:rPr>
                <w:rFonts w:cs="Times New Roman"/>
                <w:sz w:val="22"/>
                <w:szCs w:val="22"/>
              </w:rPr>
              <w:t xml:space="preserve"> plain packaging </w:t>
            </w:r>
            <w:r w:rsidR="00A12F51" w:rsidRPr="001C67EF">
              <w:rPr>
                <w:rFonts w:cs="Times New Roman"/>
                <w:sz w:val="22"/>
                <w:szCs w:val="22"/>
              </w:rPr>
              <w:t>is accelerating the impact of Australia’s existing investment in tobacco control and therefore th</w:t>
            </w:r>
            <w:r w:rsidR="0060225B">
              <w:rPr>
                <w:rFonts w:cs="Times New Roman"/>
                <w:sz w:val="22"/>
                <w:szCs w:val="22"/>
              </w:rPr>
              <w:t>e decline in smoking prevalence</w:t>
            </w:r>
          </w:p>
          <w:p w:rsidR="00A12F51" w:rsidRPr="001C67EF" w:rsidRDefault="00A12F51" w:rsidP="00EC02D0">
            <w:pPr>
              <w:pStyle w:val="Bullet"/>
              <w:numPr>
                <w:ilvl w:val="0"/>
                <w:numId w:val="0"/>
              </w:numPr>
              <w:tabs>
                <w:tab w:val="clear" w:pos="357"/>
                <w:tab w:val="left" w:pos="175"/>
              </w:tabs>
              <w:spacing w:before="20" w:after="20"/>
              <w:ind w:left="175" w:hanging="175"/>
              <w:rPr>
                <w:rFonts w:eastAsia="Calibri" w:cs="Times New Roman"/>
                <w:b/>
                <w:sz w:val="22"/>
                <w:szCs w:val="22"/>
              </w:rPr>
            </w:pPr>
            <w:r w:rsidRPr="001C67EF">
              <w:rPr>
                <w:rFonts w:cs="Times New Roman"/>
                <w:b/>
                <w:sz w:val="22"/>
                <w:szCs w:val="22"/>
              </w:rPr>
              <w:t>For the Australian health system</w:t>
            </w:r>
          </w:p>
          <w:p w:rsidR="00A12F51" w:rsidRPr="001C67EF" w:rsidRDefault="00EC6ED1" w:rsidP="00EC02D0">
            <w:pPr>
              <w:pStyle w:val="Bullet"/>
              <w:tabs>
                <w:tab w:val="clear" w:pos="357"/>
                <w:tab w:val="left" w:pos="175"/>
              </w:tabs>
              <w:spacing w:before="20" w:after="20"/>
              <w:ind w:left="175" w:hanging="175"/>
              <w:rPr>
                <w:rFonts w:eastAsia="Calibri" w:cs="Times New Roman"/>
                <w:sz w:val="22"/>
                <w:szCs w:val="22"/>
              </w:rPr>
            </w:pPr>
            <w:r w:rsidRPr="001C67EF">
              <w:rPr>
                <w:rFonts w:cs="Times New Roman"/>
                <w:sz w:val="22"/>
                <w:szCs w:val="22"/>
              </w:rPr>
              <w:t>a</w:t>
            </w:r>
            <w:r w:rsidR="00A12F51" w:rsidRPr="001C67EF">
              <w:rPr>
                <w:rFonts w:cs="Times New Roman"/>
                <w:sz w:val="22"/>
                <w:szCs w:val="22"/>
              </w:rPr>
              <w:t xml:space="preserve"> decline in smoking prevalence has and will continue to reduce the economic burden associated with smoking-related illness/disease on the health system (lower rates of hospitalisation, less chronic disease, improved surgical outcomes including recovery times, reduction in mortality and morbidity)</w:t>
            </w:r>
          </w:p>
          <w:p w:rsidR="00A12F51" w:rsidRPr="001C67EF" w:rsidRDefault="00A12F51" w:rsidP="00EC02D0">
            <w:pPr>
              <w:pStyle w:val="Bullet"/>
              <w:numPr>
                <w:ilvl w:val="0"/>
                <w:numId w:val="0"/>
              </w:numPr>
              <w:tabs>
                <w:tab w:val="clear" w:pos="357"/>
                <w:tab w:val="left" w:pos="175"/>
              </w:tabs>
              <w:spacing w:before="20" w:after="20"/>
              <w:rPr>
                <w:rFonts w:cs="Times New Roman"/>
                <w:b/>
                <w:sz w:val="22"/>
                <w:szCs w:val="22"/>
              </w:rPr>
            </w:pPr>
            <w:r w:rsidRPr="001C67EF">
              <w:rPr>
                <w:rFonts w:cs="Times New Roman"/>
                <w:b/>
                <w:sz w:val="22"/>
                <w:szCs w:val="22"/>
              </w:rPr>
              <w:t>For tobacco wholesalers and importers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lang w:eastAsia="en-AU"/>
              </w:rPr>
              <w:t>there has been a shift in the market towards value brands which has increased the competitive advantage for value wholesalers and importers</w:t>
            </w:r>
            <w:r w:rsidRPr="001C67EF">
              <w:rPr>
                <w:rFonts w:cs="Times New Roman"/>
                <w:sz w:val="22"/>
                <w:szCs w:val="22"/>
              </w:rPr>
              <w:t xml:space="preserve"> (i.e. </w:t>
            </w:r>
            <w:r w:rsidRPr="001C67EF">
              <w:rPr>
                <w:rFonts w:cs="Times New Roman"/>
                <w:sz w:val="22"/>
                <w:szCs w:val="22"/>
                <w:lang w:eastAsia="en-AU"/>
              </w:rPr>
              <w:t>the power and profitability of larger toba</w:t>
            </w:r>
            <w:r w:rsidR="008004FC">
              <w:rPr>
                <w:rFonts w:cs="Times New Roman"/>
                <w:sz w:val="22"/>
                <w:szCs w:val="22"/>
                <w:lang w:eastAsia="en-AU"/>
              </w:rPr>
              <w:t>cco companies has been reduced)</w:t>
            </w:r>
          </w:p>
          <w:p w:rsidR="00A12F51" w:rsidRPr="001C67EF" w:rsidRDefault="00A12F51" w:rsidP="00EC02D0">
            <w:pPr>
              <w:pStyle w:val="Bullet"/>
              <w:tabs>
                <w:tab w:val="clear" w:pos="357"/>
                <w:tab w:val="left" w:pos="175"/>
              </w:tabs>
              <w:spacing w:before="20" w:after="20"/>
              <w:ind w:left="175" w:hanging="175"/>
              <w:rPr>
                <w:rFonts w:cs="Times New Roman"/>
                <w:sz w:val="22"/>
                <w:szCs w:val="22"/>
                <w:lang w:eastAsia="en-AU"/>
              </w:rPr>
            </w:pPr>
            <w:r w:rsidRPr="001C67EF">
              <w:rPr>
                <w:rFonts w:cs="Times New Roman"/>
                <w:sz w:val="22"/>
                <w:szCs w:val="22"/>
                <w:lang w:eastAsia="en-AU"/>
              </w:rPr>
              <w:t>additional labour requirements has created new job opportunities</w:t>
            </w:r>
          </w:p>
          <w:p w:rsidR="00A12F51" w:rsidRPr="001C67EF" w:rsidRDefault="00A12F51" w:rsidP="00EC02D0">
            <w:pPr>
              <w:pStyle w:val="Bullet"/>
              <w:numPr>
                <w:ilvl w:val="0"/>
                <w:numId w:val="0"/>
              </w:numPr>
              <w:tabs>
                <w:tab w:val="clear" w:pos="357"/>
                <w:tab w:val="left" w:pos="175"/>
              </w:tabs>
              <w:spacing w:before="20" w:after="20"/>
              <w:ind w:left="175" w:hanging="175"/>
              <w:rPr>
                <w:rFonts w:cs="Times New Roman"/>
                <w:b/>
                <w:sz w:val="22"/>
                <w:szCs w:val="22"/>
                <w:lang w:eastAsia="en-AU"/>
              </w:rPr>
            </w:pPr>
            <w:r w:rsidRPr="001C67EF">
              <w:rPr>
                <w:rFonts w:cs="Times New Roman"/>
                <w:b/>
                <w:sz w:val="22"/>
                <w:szCs w:val="22"/>
                <w:lang w:eastAsia="en-AU"/>
              </w:rPr>
              <w:t>For retailers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while initially considered burdensome, the time taken by retailers across various steps of the supply chain, including stocktake, customer service, checking incoming orders, putting away stock and correcting mistakes is no longer an issue for some retailers (i.e. things have gone back to normal)</w:t>
            </w:r>
          </w:p>
          <w:p w:rsidR="00A12F51" w:rsidRPr="001C67EF" w:rsidRDefault="00EC6ED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t</w:t>
            </w:r>
            <w:r w:rsidR="00A12F51" w:rsidRPr="001C67EF">
              <w:rPr>
                <w:rFonts w:cs="Times New Roman"/>
                <w:sz w:val="22"/>
                <w:szCs w:val="22"/>
              </w:rPr>
              <w:t>here has not been a switch in people buying tobacco products from small to larger retailers</w:t>
            </w:r>
          </w:p>
          <w:p w:rsidR="00A12F51" w:rsidRPr="001C67EF" w:rsidRDefault="00A12F51" w:rsidP="00EC02D0">
            <w:pPr>
              <w:pStyle w:val="Bullet"/>
              <w:numPr>
                <w:ilvl w:val="0"/>
                <w:numId w:val="0"/>
              </w:numPr>
              <w:tabs>
                <w:tab w:val="clear" w:pos="357"/>
                <w:tab w:val="left" w:pos="175"/>
              </w:tabs>
              <w:spacing w:before="20" w:after="20"/>
              <w:ind w:left="175" w:hanging="175"/>
              <w:rPr>
                <w:rFonts w:cs="Times New Roman"/>
                <w:b/>
                <w:sz w:val="22"/>
                <w:szCs w:val="22"/>
              </w:rPr>
            </w:pPr>
            <w:r w:rsidRPr="001C67EF">
              <w:rPr>
                <w:rFonts w:cs="Times New Roman"/>
                <w:b/>
                <w:sz w:val="22"/>
                <w:szCs w:val="22"/>
              </w:rPr>
              <w:t>For consumers</w:t>
            </w:r>
          </w:p>
          <w:p w:rsidR="00A12F51" w:rsidRPr="001C67EF" w:rsidRDefault="00EC6ED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lastRenderedPageBreak/>
              <w:t>t</w:t>
            </w:r>
            <w:r w:rsidR="00A12F51" w:rsidRPr="001C67EF">
              <w:rPr>
                <w:rFonts w:cs="Times New Roman"/>
                <w:sz w:val="22"/>
                <w:szCs w:val="22"/>
              </w:rPr>
              <w:t>hose consumers who decide to give up smoking will have a</w:t>
            </w:r>
            <w:r w:rsidRPr="001C67EF">
              <w:rPr>
                <w:rFonts w:cs="Times New Roman"/>
                <w:sz w:val="22"/>
                <w:szCs w:val="22"/>
              </w:rPr>
              <w:t>n increase in disposable income</w:t>
            </w:r>
          </w:p>
        </w:tc>
        <w:tc>
          <w:tcPr>
            <w:tcW w:w="4486" w:type="dxa"/>
            <w:shd w:val="clear" w:color="auto" w:fill="auto"/>
          </w:tcPr>
          <w:p w:rsidR="00A12F51" w:rsidRPr="001C67EF" w:rsidRDefault="00A12F51" w:rsidP="00EC02D0">
            <w:pPr>
              <w:pStyle w:val="Bullet"/>
              <w:numPr>
                <w:ilvl w:val="0"/>
                <w:numId w:val="0"/>
              </w:numPr>
              <w:tabs>
                <w:tab w:val="clear" w:pos="357"/>
                <w:tab w:val="left" w:pos="175"/>
              </w:tabs>
              <w:spacing w:before="20" w:after="20"/>
              <w:ind w:left="175" w:hanging="175"/>
              <w:rPr>
                <w:rFonts w:cs="Times New Roman"/>
                <w:b/>
                <w:sz w:val="22"/>
                <w:szCs w:val="22"/>
              </w:rPr>
            </w:pPr>
            <w:r w:rsidRPr="001C67EF">
              <w:rPr>
                <w:rFonts w:cs="Times New Roman"/>
                <w:b/>
                <w:sz w:val="22"/>
                <w:szCs w:val="22"/>
              </w:rPr>
              <w:lastRenderedPageBreak/>
              <w:t>For the Australian economy</w:t>
            </w:r>
          </w:p>
          <w:p w:rsidR="00DF5552"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tobacco companies have stopped manufacturing in Australia th</w:t>
            </w:r>
            <w:r w:rsidR="00EC6ED1" w:rsidRPr="001C67EF">
              <w:rPr>
                <w:rFonts w:cs="Times New Roman"/>
                <w:sz w:val="22"/>
                <w:szCs w:val="22"/>
              </w:rPr>
              <w:t>erefore taking profits overseas</w:t>
            </w:r>
          </w:p>
          <w:p w:rsidR="00DF5552" w:rsidRPr="00DF5552" w:rsidRDefault="00A12F51" w:rsidP="00EC02D0">
            <w:pPr>
              <w:pStyle w:val="Bullet"/>
              <w:numPr>
                <w:ilvl w:val="0"/>
                <w:numId w:val="0"/>
              </w:numPr>
              <w:tabs>
                <w:tab w:val="clear" w:pos="357"/>
                <w:tab w:val="left" w:pos="175"/>
              </w:tabs>
              <w:spacing w:before="20" w:after="20"/>
              <w:rPr>
                <w:rFonts w:cs="Times New Roman"/>
                <w:sz w:val="22"/>
                <w:szCs w:val="22"/>
              </w:rPr>
            </w:pPr>
            <w:r w:rsidRPr="00DF5552">
              <w:rPr>
                <w:rFonts w:cs="Times New Roman"/>
                <w:b/>
                <w:sz w:val="22"/>
                <w:szCs w:val="22"/>
              </w:rPr>
              <w:t xml:space="preserve">For government </w:t>
            </w:r>
          </w:p>
          <w:p w:rsidR="00A12F51" w:rsidRPr="00DF5552" w:rsidRDefault="00A12F51" w:rsidP="00EC02D0">
            <w:pPr>
              <w:pStyle w:val="Bullet"/>
              <w:tabs>
                <w:tab w:val="clear" w:pos="357"/>
                <w:tab w:val="left" w:pos="175"/>
              </w:tabs>
              <w:spacing w:before="20" w:after="20"/>
              <w:ind w:left="175" w:hanging="175"/>
              <w:rPr>
                <w:rFonts w:cs="Times New Roman"/>
                <w:sz w:val="22"/>
                <w:szCs w:val="22"/>
              </w:rPr>
            </w:pPr>
            <w:r w:rsidRPr="00DF5552">
              <w:rPr>
                <w:rFonts w:cs="Times New Roman"/>
                <w:sz w:val="22"/>
                <w:szCs w:val="22"/>
              </w:rPr>
              <w:t>time, effort and cost involved in drafting and approving tobacco</w:t>
            </w:r>
            <w:r w:rsidR="00416DF1" w:rsidRPr="00DF5552">
              <w:rPr>
                <w:rFonts w:cs="Times New Roman"/>
                <w:sz w:val="22"/>
                <w:szCs w:val="22"/>
              </w:rPr>
              <w:t xml:space="preserve"> plain packaging </w:t>
            </w:r>
            <w:r w:rsidRPr="00DF5552">
              <w:rPr>
                <w:rFonts w:cs="Times New Roman"/>
                <w:sz w:val="22"/>
                <w:szCs w:val="22"/>
              </w:rPr>
              <w:t xml:space="preserve">legalisation, introducing </w:t>
            </w:r>
            <w:r w:rsidR="00416DF1" w:rsidRPr="00DF5552">
              <w:rPr>
                <w:rFonts w:cs="Times New Roman"/>
                <w:sz w:val="22"/>
                <w:szCs w:val="22"/>
              </w:rPr>
              <w:t xml:space="preserve">tobacco plain packaging </w:t>
            </w:r>
            <w:r w:rsidRPr="00DF5552">
              <w:rPr>
                <w:rFonts w:cs="Times New Roman"/>
                <w:sz w:val="22"/>
                <w:szCs w:val="22"/>
              </w:rPr>
              <w:t>laws and enforcement of the laws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 xml:space="preserve">time spent countering misrepresentation from </w:t>
            </w:r>
            <w:r w:rsidRPr="001C67EF">
              <w:rPr>
                <w:rFonts w:cs="Times New Roman"/>
                <w:sz w:val="22"/>
                <w:szCs w:val="22"/>
              </w:rPr>
              <w:lastRenderedPageBreak/>
              <w:t>the tobacco industry, sometimes to the media or anti-tobacco lobbying grou</w:t>
            </w:r>
            <w:r w:rsidR="0060225B">
              <w:rPr>
                <w:rFonts w:cs="Times New Roman"/>
                <w:sz w:val="22"/>
                <w:szCs w:val="22"/>
              </w:rPr>
              <w:t>ps</w:t>
            </w:r>
          </w:p>
          <w:p w:rsidR="00A12F51" w:rsidRPr="001C67EF" w:rsidRDefault="00A12F51" w:rsidP="00EC02D0">
            <w:pPr>
              <w:pStyle w:val="Bullet"/>
              <w:tabs>
                <w:tab w:val="clear" w:pos="357"/>
                <w:tab w:val="left" w:pos="175"/>
              </w:tabs>
              <w:spacing w:before="20" w:after="20"/>
              <w:ind w:left="175" w:hanging="175"/>
              <w:rPr>
                <w:rFonts w:eastAsia="Calibri" w:cs="Times New Roman"/>
                <w:sz w:val="22"/>
                <w:szCs w:val="22"/>
                <w:lang w:eastAsia="en-AU"/>
              </w:rPr>
            </w:pPr>
            <w:r w:rsidRPr="001C67EF">
              <w:rPr>
                <w:rFonts w:cs="Times New Roman"/>
                <w:sz w:val="22"/>
                <w:szCs w:val="22"/>
              </w:rPr>
              <w:t xml:space="preserve">costs associated with defending the legislation </w:t>
            </w:r>
            <w:r w:rsidRPr="001C67EF">
              <w:rPr>
                <w:rFonts w:cs="Times New Roman"/>
                <w:sz w:val="22"/>
                <w:szCs w:val="22"/>
                <w:lang w:eastAsia="en-AU"/>
              </w:rPr>
              <w:t>in the face of industry challenges under international trade treaties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 xml:space="preserve">time spent assisting colleagues in other countries </w:t>
            </w:r>
            <w:r w:rsidR="00354C14" w:rsidRPr="001C67EF">
              <w:rPr>
                <w:rFonts w:cs="Times New Roman"/>
                <w:sz w:val="22"/>
                <w:szCs w:val="22"/>
              </w:rPr>
              <w:t xml:space="preserve">with information </w:t>
            </w:r>
            <w:r w:rsidRPr="001C67EF">
              <w:rPr>
                <w:rFonts w:cs="Times New Roman"/>
                <w:sz w:val="22"/>
                <w:szCs w:val="22"/>
              </w:rPr>
              <w:t xml:space="preserve">to progress </w:t>
            </w:r>
            <w:r w:rsidR="00416DF1" w:rsidRPr="001C67EF">
              <w:rPr>
                <w:rFonts w:cs="Times New Roman"/>
                <w:sz w:val="22"/>
                <w:szCs w:val="22"/>
              </w:rPr>
              <w:t xml:space="preserve">tobacco plain packaging </w:t>
            </w:r>
            <w:r w:rsidRPr="001C67EF">
              <w:rPr>
                <w:rFonts w:cs="Times New Roman"/>
                <w:sz w:val="22"/>
                <w:szCs w:val="22"/>
              </w:rPr>
              <w:t>laws</w:t>
            </w:r>
          </w:p>
          <w:p w:rsidR="00A12F51" w:rsidRPr="001C67EF" w:rsidRDefault="00A12F51" w:rsidP="00EC02D0">
            <w:pPr>
              <w:pStyle w:val="Bullet"/>
              <w:tabs>
                <w:tab w:val="clear" w:pos="357"/>
                <w:tab w:val="left" w:pos="175"/>
              </w:tabs>
              <w:spacing w:before="20" w:after="20"/>
              <w:ind w:left="175" w:hanging="175"/>
              <w:rPr>
                <w:rFonts w:eastAsia="Calibri" w:cs="Times New Roman"/>
                <w:sz w:val="22"/>
                <w:szCs w:val="22"/>
                <w:lang w:eastAsia="en-AU"/>
              </w:rPr>
            </w:pPr>
            <w:r w:rsidRPr="001C67EF">
              <w:rPr>
                <w:rFonts w:eastAsia="Calibri" w:cs="Times New Roman"/>
                <w:sz w:val="22"/>
                <w:szCs w:val="22"/>
                <w:lang w:eastAsia="en-AU"/>
              </w:rPr>
              <w:t xml:space="preserve">the shift towards lower-priced brands has led to a reduction in tobacco excise </w:t>
            </w:r>
          </w:p>
          <w:p w:rsidR="00A12F51" w:rsidRPr="001C67EF" w:rsidRDefault="00A12F51" w:rsidP="00EC02D0">
            <w:pPr>
              <w:pStyle w:val="Bullet"/>
              <w:tabs>
                <w:tab w:val="clear" w:pos="357"/>
                <w:tab w:val="left" w:pos="175"/>
              </w:tabs>
              <w:spacing w:before="20" w:after="20"/>
              <w:ind w:left="175" w:hanging="175"/>
              <w:rPr>
                <w:rFonts w:eastAsia="Calibri" w:cs="Times New Roman"/>
                <w:sz w:val="22"/>
                <w:szCs w:val="22"/>
                <w:lang w:eastAsia="en-AU"/>
              </w:rPr>
            </w:pPr>
            <w:r w:rsidRPr="001C67EF">
              <w:rPr>
                <w:rFonts w:eastAsia="Calibri" w:cs="Times New Roman"/>
                <w:sz w:val="22"/>
                <w:szCs w:val="22"/>
                <w:lang w:eastAsia="en-AU"/>
              </w:rPr>
              <w:t>a loss of excise revenue due to the growt</w:t>
            </w:r>
            <w:r w:rsidR="0060225B">
              <w:rPr>
                <w:rFonts w:eastAsia="Calibri" w:cs="Times New Roman"/>
                <w:sz w:val="22"/>
                <w:szCs w:val="22"/>
                <w:lang w:eastAsia="en-AU"/>
              </w:rPr>
              <w:t>h in the illicit tobacco market</w:t>
            </w:r>
          </w:p>
          <w:p w:rsidR="00A12F51" w:rsidRPr="001C67EF" w:rsidRDefault="00A12F51" w:rsidP="00EC02D0">
            <w:pPr>
              <w:pStyle w:val="Bullet"/>
              <w:tabs>
                <w:tab w:val="clear" w:pos="357"/>
                <w:tab w:val="left" w:pos="175"/>
              </w:tabs>
              <w:spacing w:before="20" w:after="20"/>
              <w:ind w:left="175" w:hanging="175"/>
              <w:rPr>
                <w:rFonts w:eastAsia="Calibri" w:cs="Times New Roman"/>
                <w:sz w:val="22"/>
                <w:szCs w:val="22"/>
                <w:lang w:eastAsia="en-AU"/>
              </w:rPr>
            </w:pPr>
            <w:r w:rsidRPr="001C67EF">
              <w:rPr>
                <w:rFonts w:cs="Times New Roman"/>
                <w:sz w:val="22"/>
                <w:szCs w:val="22"/>
                <w:lang w:eastAsia="en-AU"/>
              </w:rPr>
              <w:t>an increased workload due to increased reports of illegal tobacco</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an increase in pension and support money as a greater number of people live longer due to reduced smoking rates</w:t>
            </w:r>
          </w:p>
          <w:p w:rsidR="00A12F51" w:rsidRPr="001C67EF" w:rsidRDefault="0060225B" w:rsidP="00EC02D0">
            <w:pPr>
              <w:pStyle w:val="Bullet"/>
              <w:numPr>
                <w:ilvl w:val="0"/>
                <w:numId w:val="0"/>
              </w:numPr>
              <w:tabs>
                <w:tab w:val="clear" w:pos="357"/>
                <w:tab w:val="left" w:pos="175"/>
              </w:tabs>
              <w:spacing w:before="20" w:after="20"/>
              <w:ind w:left="175" w:hanging="175"/>
              <w:rPr>
                <w:rFonts w:cs="Times New Roman"/>
                <w:b/>
                <w:sz w:val="22"/>
                <w:szCs w:val="22"/>
              </w:rPr>
            </w:pPr>
            <w:r>
              <w:rPr>
                <w:rFonts w:cs="Times New Roman"/>
                <w:b/>
                <w:sz w:val="22"/>
                <w:szCs w:val="22"/>
              </w:rPr>
              <w:t>For tobacco companies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time, effort and costs associated with complying with the measure including rebuilding machinery and approving new artwork, guiding retail outlets through the transition period to ensure that branded stock was returned and new stock complied with legislation</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 xml:space="preserve">the illegal tobacco market has grown following the introduction of </w:t>
            </w:r>
            <w:r w:rsidR="008004FC">
              <w:rPr>
                <w:rFonts w:cs="Times New Roman"/>
                <w:sz w:val="22"/>
                <w:szCs w:val="22"/>
              </w:rPr>
              <w:t>tobacco plain packaging</w:t>
            </w:r>
          </w:p>
          <w:p w:rsidR="00A12F51" w:rsidRPr="001C67EF" w:rsidRDefault="00A12F51" w:rsidP="00EC02D0">
            <w:pPr>
              <w:pStyle w:val="Bullet"/>
              <w:tabs>
                <w:tab w:val="clear" w:pos="357"/>
                <w:tab w:val="left" w:pos="175"/>
              </w:tabs>
              <w:spacing w:before="20" w:after="20"/>
              <w:ind w:left="175" w:hanging="175"/>
              <w:rPr>
                <w:rFonts w:eastAsia="Calibri" w:cs="Times New Roman"/>
                <w:sz w:val="22"/>
                <w:szCs w:val="22"/>
                <w:lang w:eastAsia="en-AU"/>
              </w:rPr>
            </w:pPr>
            <w:r w:rsidRPr="001C67EF">
              <w:rPr>
                <w:rFonts w:cs="Times New Roman"/>
                <w:sz w:val="22"/>
                <w:szCs w:val="22"/>
                <w:lang w:eastAsia="en-AU"/>
              </w:rPr>
              <w:t>consumers are down-trading from more expensive brands to lower cost brands which has increased market competition (i.e. some</w:t>
            </w:r>
            <w:r w:rsidRPr="001C67EF">
              <w:rPr>
                <w:rFonts w:eastAsia="Calibri" w:cs="Times New Roman"/>
                <w:sz w:val="22"/>
                <w:szCs w:val="22"/>
                <w:lang w:eastAsia="en-AU"/>
              </w:rPr>
              <w:t xml:space="preserve"> tobacco companies with premium products have lost market edge)</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loss of  intellectual property</w:t>
            </w:r>
          </w:p>
          <w:p w:rsidR="00A12F51" w:rsidRPr="001C67EF" w:rsidRDefault="00A12F51" w:rsidP="00EC02D0">
            <w:pPr>
              <w:pStyle w:val="Bullet"/>
              <w:numPr>
                <w:ilvl w:val="0"/>
                <w:numId w:val="0"/>
              </w:numPr>
              <w:tabs>
                <w:tab w:val="clear" w:pos="357"/>
                <w:tab w:val="left" w:pos="175"/>
              </w:tabs>
              <w:spacing w:before="20" w:after="20"/>
              <w:ind w:left="175" w:hanging="175"/>
              <w:rPr>
                <w:rFonts w:cs="Times New Roman"/>
                <w:b/>
                <w:sz w:val="22"/>
                <w:szCs w:val="22"/>
              </w:rPr>
            </w:pPr>
            <w:r w:rsidRPr="001C67EF">
              <w:rPr>
                <w:rFonts w:cs="Times New Roman"/>
                <w:b/>
                <w:sz w:val="22"/>
                <w:szCs w:val="22"/>
              </w:rPr>
              <w:t>For tobacco wholesalers and importers</w:t>
            </w:r>
          </w:p>
          <w:p w:rsidR="00A12F51" w:rsidRPr="001C67EF" w:rsidRDefault="00A12F51" w:rsidP="00EC02D0">
            <w:pPr>
              <w:pStyle w:val="Bullet"/>
              <w:tabs>
                <w:tab w:val="clear" w:pos="357"/>
                <w:tab w:val="left" w:pos="175"/>
              </w:tabs>
              <w:spacing w:before="20" w:after="20"/>
              <w:ind w:left="175" w:hanging="175"/>
              <w:rPr>
                <w:rFonts w:eastAsia="Calibri" w:cs="Times New Roman"/>
                <w:sz w:val="22"/>
                <w:szCs w:val="22"/>
              </w:rPr>
            </w:pPr>
            <w:r w:rsidRPr="001C67EF">
              <w:rPr>
                <w:rFonts w:cs="Times New Roman"/>
                <w:sz w:val="22"/>
                <w:szCs w:val="22"/>
                <w:lang w:eastAsia="en-AU"/>
              </w:rPr>
              <w:t>repackaging stock was costly and labour intensive in order to become</w:t>
            </w:r>
            <w:r w:rsidRPr="001C67EF">
              <w:rPr>
                <w:rFonts w:eastAsia="Calibri" w:cs="Times New Roman"/>
                <w:sz w:val="22"/>
                <w:szCs w:val="22"/>
              </w:rPr>
              <w:t xml:space="preserve"> </w:t>
            </w:r>
            <w:r w:rsidRPr="001C67EF">
              <w:rPr>
                <w:rFonts w:cs="Times New Roman"/>
                <w:sz w:val="22"/>
                <w:szCs w:val="22"/>
                <w:lang w:eastAsia="en-AU"/>
              </w:rPr>
              <w:t>compliant with the new legislatio</w:t>
            </w:r>
            <w:r w:rsidR="008004FC">
              <w:rPr>
                <w:rFonts w:cs="Times New Roman"/>
                <w:sz w:val="22"/>
                <w:szCs w:val="22"/>
                <w:lang w:eastAsia="en-AU"/>
              </w:rPr>
              <w:t>n within a short period of time</w:t>
            </w:r>
          </w:p>
          <w:p w:rsidR="00A12F51" w:rsidRPr="001C67EF" w:rsidRDefault="00EC6ED1" w:rsidP="00EC02D0">
            <w:pPr>
              <w:pStyle w:val="Bullet"/>
              <w:tabs>
                <w:tab w:val="clear" w:pos="357"/>
                <w:tab w:val="left" w:pos="175"/>
              </w:tabs>
              <w:spacing w:before="20" w:after="20"/>
              <w:ind w:left="175" w:hanging="175"/>
              <w:rPr>
                <w:rFonts w:cs="Times New Roman"/>
                <w:sz w:val="22"/>
                <w:szCs w:val="22"/>
                <w:lang w:eastAsia="en-AU"/>
              </w:rPr>
            </w:pPr>
            <w:r w:rsidRPr="001C67EF">
              <w:rPr>
                <w:rFonts w:cs="Times New Roman"/>
                <w:sz w:val="22"/>
                <w:szCs w:val="22"/>
                <w:lang w:eastAsia="en-AU"/>
              </w:rPr>
              <w:t>the sale</w:t>
            </w:r>
            <w:r w:rsidR="00A12F51" w:rsidRPr="001C67EF">
              <w:rPr>
                <w:rFonts w:cs="Times New Roman"/>
                <w:sz w:val="22"/>
                <w:szCs w:val="22"/>
                <w:lang w:eastAsia="en-AU"/>
              </w:rPr>
              <w:t xml:space="preserve"> price for cigarettes is decreasing and the value end of the market has </w:t>
            </w:r>
            <w:r w:rsidR="008004FC">
              <w:rPr>
                <w:rFonts w:cs="Times New Roman"/>
                <w:sz w:val="22"/>
                <w:szCs w:val="22"/>
                <w:lang w:eastAsia="en-AU"/>
              </w:rPr>
              <w:t>become increasingly competitive</w:t>
            </w:r>
          </w:p>
          <w:p w:rsidR="00A12F51" w:rsidRPr="001C67EF" w:rsidRDefault="00A12F51" w:rsidP="00EC02D0">
            <w:pPr>
              <w:pStyle w:val="Bullet"/>
              <w:tabs>
                <w:tab w:val="clear" w:pos="357"/>
                <w:tab w:val="left" w:pos="175"/>
              </w:tabs>
              <w:spacing w:before="20" w:after="20"/>
              <w:ind w:left="175" w:hanging="175"/>
              <w:rPr>
                <w:rFonts w:cs="Times New Roman"/>
                <w:sz w:val="22"/>
                <w:szCs w:val="22"/>
                <w:lang w:eastAsia="en-AU"/>
              </w:rPr>
            </w:pPr>
            <w:r w:rsidRPr="001C67EF">
              <w:rPr>
                <w:rFonts w:cs="Times New Roman"/>
                <w:sz w:val="22"/>
                <w:szCs w:val="22"/>
                <w:lang w:eastAsia="en-AU"/>
              </w:rPr>
              <w:t>some wholesalers/importers have started to import illegal tobacco products which has negative implications for other wholesalers and importers</w:t>
            </w:r>
          </w:p>
          <w:p w:rsidR="00A12F51" w:rsidRPr="001C67EF" w:rsidRDefault="00A12F51" w:rsidP="00EC02D0">
            <w:pPr>
              <w:pStyle w:val="Bullet"/>
              <w:numPr>
                <w:ilvl w:val="0"/>
                <w:numId w:val="0"/>
              </w:numPr>
              <w:tabs>
                <w:tab w:val="clear" w:pos="357"/>
                <w:tab w:val="left" w:pos="175"/>
              </w:tabs>
              <w:spacing w:before="20" w:after="20"/>
              <w:ind w:left="175" w:hanging="175"/>
              <w:rPr>
                <w:rFonts w:cs="Times New Roman"/>
                <w:sz w:val="22"/>
                <w:szCs w:val="22"/>
              </w:rPr>
            </w:pPr>
            <w:r w:rsidRPr="001C67EF">
              <w:rPr>
                <w:rFonts w:cs="Times New Roman"/>
                <w:b/>
                <w:sz w:val="22"/>
                <w:szCs w:val="22"/>
              </w:rPr>
              <w:t>For retailers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additional time is being spent across various steps of the supply chain, including stocktake, customer service, checking incoming orders, putting awa</w:t>
            </w:r>
            <w:r w:rsidR="008004FC">
              <w:rPr>
                <w:rFonts w:cs="Times New Roman"/>
                <w:sz w:val="22"/>
                <w:szCs w:val="22"/>
              </w:rPr>
              <w:t>y stock and correcting mistakes</w:t>
            </w:r>
          </w:p>
          <w:p w:rsidR="00A12F51" w:rsidRPr="001C67EF" w:rsidRDefault="00A12F51" w:rsidP="00EC02D0">
            <w:pPr>
              <w:pStyle w:val="Bullet"/>
              <w:tabs>
                <w:tab w:val="clear" w:pos="357"/>
                <w:tab w:val="left" w:pos="175"/>
              </w:tabs>
              <w:spacing w:before="20" w:after="20"/>
              <w:ind w:left="175" w:hanging="175"/>
              <w:rPr>
                <w:rFonts w:cs="Times New Roman"/>
                <w:sz w:val="22"/>
                <w:szCs w:val="22"/>
                <w:lang w:eastAsia="en-AU"/>
              </w:rPr>
            </w:pPr>
            <w:r w:rsidRPr="001C67EF">
              <w:rPr>
                <w:rFonts w:cs="Times New Roman"/>
                <w:sz w:val="22"/>
                <w:szCs w:val="22"/>
                <w:lang w:eastAsia="en-AU"/>
              </w:rPr>
              <w:lastRenderedPageBreak/>
              <w:t xml:space="preserve">the number of product selection and processing errors have risen (including in the deliveries from manufacturers and in </w:t>
            </w:r>
            <w:r w:rsidR="008004FC">
              <w:rPr>
                <w:rFonts w:cs="Times New Roman"/>
                <w:sz w:val="22"/>
                <w:szCs w:val="22"/>
                <w:lang w:eastAsia="en-AU"/>
              </w:rPr>
              <w:t>the products sold to consumers)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 xml:space="preserve">staff require additional training to identify tobacco products without visual cues such as colouring and branding </w:t>
            </w:r>
            <w:r w:rsidR="008D3AD8" w:rsidRPr="001C67EF">
              <w:rPr>
                <w:rFonts w:cs="Times New Roman"/>
                <w:sz w:val="22"/>
                <w:szCs w:val="22"/>
              </w:rPr>
              <w:t>elements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lang w:eastAsia="en-AU"/>
              </w:rPr>
              <w:t>there has been an increase in the time taken to complete a sales transaction as staff are spending longer periods of time searching for and locating requested products which has incr</w:t>
            </w:r>
            <w:r w:rsidR="00EC6ED1" w:rsidRPr="001C67EF">
              <w:rPr>
                <w:rFonts w:cs="Times New Roman"/>
                <w:sz w:val="22"/>
                <w:szCs w:val="22"/>
                <w:lang w:eastAsia="en-AU"/>
              </w:rPr>
              <w:t>eased labour costs and consumer</w:t>
            </w:r>
            <w:r w:rsidR="008004FC">
              <w:rPr>
                <w:rFonts w:cs="Times New Roman"/>
                <w:sz w:val="22"/>
                <w:szCs w:val="22"/>
                <w:lang w:eastAsia="en-AU"/>
              </w:rPr>
              <w:t xml:space="preserve"> waiting times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lang w:eastAsia="en-AU"/>
              </w:rPr>
              <w:t>security risks and incidents of store theft have increased as retail staff have their backs to customers for longer periods of time while they are retrieving</w:t>
            </w:r>
            <w:r w:rsidR="00EC6ED1" w:rsidRPr="001C67EF">
              <w:rPr>
                <w:rFonts w:cs="Times New Roman"/>
                <w:sz w:val="22"/>
                <w:szCs w:val="22"/>
                <w:lang w:eastAsia="en-AU"/>
              </w:rPr>
              <w:t xml:space="preserve"> the requested tobacco products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lang w:eastAsia="en-AU"/>
              </w:rPr>
              <w:t xml:space="preserve">there has been an increase in competition </w:t>
            </w:r>
            <w:r w:rsidR="008004FC">
              <w:rPr>
                <w:rFonts w:cs="Times New Roman"/>
                <w:sz w:val="22"/>
                <w:szCs w:val="22"/>
                <w:lang w:eastAsia="en-AU"/>
              </w:rPr>
              <w:t>from the illegal tobacco market</w:t>
            </w:r>
          </w:p>
          <w:p w:rsidR="00A12F51" w:rsidRPr="001C67EF" w:rsidRDefault="00EC6ED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r</w:t>
            </w:r>
            <w:r w:rsidR="00A12F51" w:rsidRPr="001C67EF">
              <w:rPr>
                <w:rFonts w:cs="Times New Roman"/>
                <w:sz w:val="22"/>
                <w:szCs w:val="22"/>
              </w:rPr>
              <w:t xml:space="preserve">ural general stores </w:t>
            </w:r>
            <w:r w:rsidRPr="001C67EF">
              <w:rPr>
                <w:rFonts w:cs="Times New Roman"/>
                <w:sz w:val="22"/>
                <w:szCs w:val="22"/>
              </w:rPr>
              <w:t xml:space="preserve">are </w:t>
            </w:r>
            <w:r w:rsidR="00A12F51" w:rsidRPr="001C67EF">
              <w:rPr>
                <w:rFonts w:cs="Times New Roman"/>
                <w:sz w:val="22"/>
                <w:szCs w:val="22"/>
              </w:rPr>
              <w:t>not stocked as well due to less people buying cigarettes, and the</w:t>
            </w:r>
            <w:r w:rsidR="007D3872" w:rsidRPr="001C67EF">
              <w:rPr>
                <w:rFonts w:cs="Times New Roman"/>
                <w:sz w:val="22"/>
                <w:szCs w:val="22"/>
              </w:rPr>
              <w:t>refore there is</w:t>
            </w:r>
            <w:r w:rsidRPr="001C67EF">
              <w:rPr>
                <w:rFonts w:cs="Times New Roman"/>
                <w:sz w:val="22"/>
                <w:szCs w:val="22"/>
              </w:rPr>
              <w:t xml:space="preserve"> </w:t>
            </w:r>
            <w:r w:rsidR="007D3872" w:rsidRPr="001C67EF">
              <w:rPr>
                <w:rFonts w:cs="Times New Roman"/>
                <w:sz w:val="22"/>
                <w:szCs w:val="22"/>
              </w:rPr>
              <w:t xml:space="preserve">an </w:t>
            </w:r>
            <w:r w:rsidRPr="001C67EF">
              <w:rPr>
                <w:rFonts w:cs="Times New Roman"/>
                <w:sz w:val="22"/>
                <w:szCs w:val="22"/>
              </w:rPr>
              <w:t>increased</w:t>
            </w:r>
            <w:r w:rsidR="00A12F51" w:rsidRPr="001C67EF">
              <w:rPr>
                <w:rFonts w:cs="Times New Roman"/>
                <w:sz w:val="22"/>
                <w:szCs w:val="22"/>
              </w:rPr>
              <w:t xml:space="preserve"> </w:t>
            </w:r>
            <w:r w:rsidR="007D3872" w:rsidRPr="001C67EF">
              <w:rPr>
                <w:rFonts w:cs="Times New Roman"/>
                <w:sz w:val="22"/>
                <w:szCs w:val="22"/>
              </w:rPr>
              <w:t>risk that</w:t>
            </w:r>
            <w:r w:rsidR="00A12F51" w:rsidRPr="001C67EF">
              <w:rPr>
                <w:rFonts w:cs="Times New Roman"/>
                <w:sz w:val="22"/>
                <w:szCs w:val="22"/>
              </w:rPr>
              <w:t xml:space="preserve"> these </w:t>
            </w:r>
            <w:r w:rsidR="007D3872" w:rsidRPr="001C67EF">
              <w:rPr>
                <w:rFonts w:cs="Times New Roman"/>
                <w:sz w:val="22"/>
                <w:szCs w:val="22"/>
              </w:rPr>
              <w:t>stores may fall out of business</w:t>
            </w:r>
          </w:p>
          <w:p w:rsidR="005F3E62" w:rsidRPr="001C67EF" w:rsidRDefault="00EC6ED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i</w:t>
            </w:r>
            <w:r w:rsidR="005F3E62" w:rsidRPr="001C67EF">
              <w:rPr>
                <w:rFonts w:cs="Times New Roman"/>
                <w:sz w:val="22"/>
                <w:szCs w:val="22"/>
              </w:rPr>
              <w:t xml:space="preserve">mplementation was rushed with little time for retailers to </w:t>
            </w:r>
            <w:r w:rsidR="00980256" w:rsidRPr="001C67EF">
              <w:rPr>
                <w:rFonts w:cs="Times New Roman"/>
                <w:sz w:val="22"/>
                <w:szCs w:val="22"/>
              </w:rPr>
              <w:t xml:space="preserve">return </w:t>
            </w:r>
            <w:r w:rsidR="005F3E62" w:rsidRPr="001C67EF">
              <w:rPr>
                <w:rFonts w:cs="Times New Roman"/>
                <w:sz w:val="22"/>
                <w:szCs w:val="22"/>
              </w:rPr>
              <w:t>stock or prepare, leaving many with dead stock that some</w:t>
            </w:r>
            <w:r w:rsidR="008004FC">
              <w:rPr>
                <w:rFonts w:cs="Times New Roman"/>
                <w:sz w:val="22"/>
                <w:szCs w:val="22"/>
              </w:rPr>
              <w:t xml:space="preserve"> suppliers would not take back</w:t>
            </w:r>
          </w:p>
          <w:p w:rsidR="00A12F51" w:rsidRPr="001C67EF" w:rsidRDefault="00A12F51" w:rsidP="00EC02D0">
            <w:pPr>
              <w:pStyle w:val="Bullet"/>
              <w:numPr>
                <w:ilvl w:val="0"/>
                <w:numId w:val="0"/>
              </w:numPr>
              <w:tabs>
                <w:tab w:val="clear" w:pos="357"/>
                <w:tab w:val="left" w:pos="175"/>
              </w:tabs>
              <w:spacing w:before="20" w:after="20"/>
              <w:ind w:left="175" w:hanging="175"/>
              <w:rPr>
                <w:rFonts w:cs="Times New Roman"/>
                <w:b/>
                <w:sz w:val="22"/>
                <w:szCs w:val="22"/>
              </w:rPr>
            </w:pPr>
            <w:r w:rsidRPr="001C67EF">
              <w:rPr>
                <w:rFonts w:cs="Times New Roman"/>
                <w:b/>
                <w:sz w:val="22"/>
                <w:szCs w:val="22"/>
              </w:rPr>
              <w:t>For consumers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 xml:space="preserve">customer waiting times have increased as retailers are taking longer to search for and locate the </w:t>
            </w:r>
            <w:r w:rsidR="008004FC">
              <w:rPr>
                <w:rFonts w:cs="Times New Roman"/>
                <w:sz w:val="22"/>
                <w:szCs w:val="22"/>
              </w:rPr>
              <w:t>products requested by consumers</w:t>
            </w:r>
          </w:p>
          <w:p w:rsidR="00A12F51" w:rsidRPr="001C67EF" w:rsidRDefault="00A12F51" w:rsidP="00EC02D0">
            <w:pPr>
              <w:pStyle w:val="Bullet"/>
              <w:tabs>
                <w:tab w:val="clear" w:pos="357"/>
                <w:tab w:val="left" w:pos="175"/>
              </w:tabs>
              <w:spacing w:before="20" w:after="20"/>
              <w:ind w:left="175" w:hanging="175"/>
              <w:rPr>
                <w:rFonts w:eastAsia="Calibri" w:cs="Times New Roman"/>
                <w:sz w:val="22"/>
                <w:szCs w:val="22"/>
                <w:lang w:eastAsia="en-AU"/>
              </w:rPr>
            </w:pPr>
            <w:r w:rsidRPr="001C67EF">
              <w:rPr>
                <w:rFonts w:eastAsia="Calibri" w:cs="Times New Roman"/>
                <w:sz w:val="22"/>
                <w:szCs w:val="22"/>
                <w:lang w:eastAsia="en-AU"/>
              </w:rPr>
              <w:t>consumers are increasingly being sold the wrong brands and/or variants by retailers</w:t>
            </w:r>
          </w:p>
          <w:p w:rsidR="00A12F51" w:rsidRPr="001C67EF" w:rsidRDefault="00A12F51" w:rsidP="00EC02D0">
            <w:pPr>
              <w:pStyle w:val="Bullet"/>
              <w:tabs>
                <w:tab w:val="clear" w:pos="357"/>
                <w:tab w:val="left" w:pos="175"/>
              </w:tabs>
              <w:spacing w:before="20" w:after="20"/>
              <w:ind w:left="175" w:hanging="175"/>
              <w:rPr>
                <w:rFonts w:eastAsia="Calibri" w:cs="Times New Roman"/>
                <w:sz w:val="22"/>
                <w:szCs w:val="22"/>
              </w:rPr>
            </w:pPr>
            <w:proofErr w:type="gramStart"/>
            <w:r w:rsidRPr="001C67EF">
              <w:rPr>
                <w:rFonts w:eastAsia="Calibri" w:cs="Times New Roman"/>
                <w:sz w:val="22"/>
                <w:szCs w:val="22"/>
                <w:lang w:eastAsia="en-AU"/>
              </w:rPr>
              <w:t>the</w:t>
            </w:r>
            <w:proofErr w:type="gramEnd"/>
            <w:r w:rsidRPr="001C67EF">
              <w:rPr>
                <w:rFonts w:eastAsia="Calibri" w:cs="Times New Roman"/>
                <w:sz w:val="22"/>
                <w:szCs w:val="22"/>
                <w:lang w:eastAsia="en-AU"/>
              </w:rPr>
              <w:t xml:space="preserve"> rise of illicit products in the market places consumers at greater risk of being exposed to unregulated tobacco products.</w:t>
            </w:r>
          </w:p>
        </w:tc>
      </w:tr>
      <w:tr w:rsidR="00A12F51" w:rsidRPr="001C67EF" w:rsidTr="000D153A">
        <w:trPr>
          <w:jc w:val="center"/>
        </w:trPr>
        <w:tc>
          <w:tcPr>
            <w:tcW w:w="1157" w:type="dxa"/>
            <w:shd w:val="clear" w:color="auto" w:fill="DEEAF6"/>
          </w:tcPr>
          <w:p w:rsidR="00A12F51" w:rsidRPr="001C67EF" w:rsidRDefault="00A12F51" w:rsidP="00EC02D0">
            <w:pPr>
              <w:pStyle w:val="Bullet"/>
              <w:numPr>
                <w:ilvl w:val="0"/>
                <w:numId w:val="0"/>
              </w:numPr>
              <w:spacing w:before="20" w:after="20"/>
              <w:ind w:left="360" w:hanging="360"/>
              <w:rPr>
                <w:rFonts w:cs="Times New Roman"/>
                <w:b/>
                <w:sz w:val="22"/>
                <w:szCs w:val="22"/>
              </w:rPr>
            </w:pPr>
            <w:r w:rsidRPr="001C67EF">
              <w:rPr>
                <w:rFonts w:cs="Times New Roman"/>
                <w:b/>
                <w:sz w:val="22"/>
                <w:szCs w:val="22"/>
              </w:rPr>
              <w:lastRenderedPageBreak/>
              <w:t xml:space="preserve">Social </w:t>
            </w:r>
          </w:p>
        </w:tc>
        <w:tc>
          <w:tcPr>
            <w:tcW w:w="3429" w:type="dxa"/>
            <w:shd w:val="clear" w:color="auto" w:fill="auto"/>
          </w:tcPr>
          <w:p w:rsidR="00A12F51" w:rsidRPr="001C67EF" w:rsidRDefault="00A12F51" w:rsidP="00EC02D0">
            <w:pPr>
              <w:pStyle w:val="Bullet"/>
              <w:numPr>
                <w:ilvl w:val="0"/>
                <w:numId w:val="0"/>
              </w:numPr>
              <w:tabs>
                <w:tab w:val="clear" w:pos="357"/>
                <w:tab w:val="left" w:pos="175"/>
              </w:tabs>
              <w:spacing w:before="20" w:after="20"/>
              <w:ind w:left="175" w:hanging="175"/>
              <w:rPr>
                <w:rFonts w:cs="Times New Roman"/>
                <w:b/>
                <w:sz w:val="22"/>
                <w:szCs w:val="22"/>
              </w:rPr>
            </w:pPr>
            <w:r w:rsidRPr="001C67EF">
              <w:rPr>
                <w:rFonts w:cs="Times New Roman"/>
                <w:b/>
                <w:sz w:val="22"/>
                <w:szCs w:val="22"/>
              </w:rPr>
              <w:t>For Australia</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 xml:space="preserve">Australia has </w:t>
            </w:r>
            <w:r w:rsidR="00980256" w:rsidRPr="001C67EF">
              <w:rPr>
                <w:rFonts w:cs="Times New Roman"/>
                <w:sz w:val="22"/>
                <w:szCs w:val="22"/>
              </w:rPr>
              <w:t>rece</w:t>
            </w:r>
            <w:r w:rsidR="00BC53A1" w:rsidRPr="001C67EF">
              <w:rPr>
                <w:rFonts w:cs="Times New Roman"/>
                <w:sz w:val="22"/>
                <w:szCs w:val="22"/>
              </w:rPr>
              <w:t>i</w:t>
            </w:r>
            <w:r w:rsidR="00980256" w:rsidRPr="001C67EF">
              <w:rPr>
                <w:rFonts w:cs="Times New Roman"/>
                <w:sz w:val="22"/>
                <w:szCs w:val="22"/>
              </w:rPr>
              <w:t xml:space="preserve">ved </w:t>
            </w:r>
            <w:r w:rsidRPr="001C67EF">
              <w:rPr>
                <w:rFonts w:cs="Times New Roman"/>
                <w:sz w:val="22"/>
                <w:szCs w:val="22"/>
              </w:rPr>
              <w:t xml:space="preserve">worldwide </w:t>
            </w:r>
            <w:r w:rsidR="00980256" w:rsidRPr="001C67EF">
              <w:rPr>
                <w:rFonts w:cs="Times New Roman"/>
                <w:sz w:val="22"/>
                <w:szCs w:val="22"/>
              </w:rPr>
              <w:t>support and recognition for imp</w:t>
            </w:r>
            <w:r w:rsidR="00BC53A1" w:rsidRPr="001C67EF">
              <w:rPr>
                <w:rFonts w:cs="Times New Roman"/>
                <w:sz w:val="22"/>
                <w:szCs w:val="22"/>
              </w:rPr>
              <w:t>l</w:t>
            </w:r>
            <w:r w:rsidR="00980256" w:rsidRPr="001C67EF">
              <w:rPr>
                <w:rFonts w:cs="Times New Roman"/>
                <w:sz w:val="22"/>
                <w:szCs w:val="22"/>
              </w:rPr>
              <w:t>em</w:t>
            </w:r>
            <w:r w:rsidR="00BC53A1" w:rsidRPr="001C67EF">
              <w:rPr>
                <w:rFonts w:cs="Times New Roman"/>
                <w:sz w:val="22"/>
                <w:szCs w:val="22"/>
              </w:rPr>
              <w:t>en</w:t>
            </w:r>
            <w:r w:rsidR="00980256" w:rsidRPr="001C67EF">
              <w:rPr>
                <w:rFonts w:cs="Times New Roman"/>
                <w:sz w:val="22"/>
                <w:szCs w:val="22"/>
              </w:rPr>
              <w:t>tation of tobacco plain packaging</w:t>
            </w:r>
            <w:r w:rsidRPr="001C67EF">
              <w:rPr>
                <w:rFonts w:cs="Times New Roman"/>
                <w:sz w:val="22"/>
                <w:szCs w:val="22"/>
              </w:rPr>
              <w:t>, and is leading the way for oth</w:t>
            </w:r>
            <w:r w:rsidR="007D3872" w:rsidRPr="001C67EF">
              <w:rPr>
                <w:rFonts w:cs="Times New Roman"/>
                <w:sz w:val="22"/>
                <w:szCs w:val="22"/>
              </w:rPr>
              <w:t>er countries in tobacco control</w:t>
            </w:r>
          </w:p>
          <w:p w:rsidR="00A12F51" w:rsidRPr="001C67EF" w:rsidRDefault="00A12F51" w:rsidP="00EC02D0">
            <w:pPr>
              <w:pStyle w:val="Bullet"/>
              <w:numPr>
                <w:ilvl w:val="0"/>
                <w:numId w:val="0"/>
              </w:numPr>
              <w:tabs>
                <w:tab w:val="clear" w:pos="357"/>
                <w:tab w:val="left" w:pos="175"/>
              </w:tabs>
              <w:spacing w:before="20" w:after="20"/>
              <w:rPr>
                <w:rFonts w:cs="Times New Roman"/>
                <w:b/>
                <w:sz w:val="22"/>
                <w:szCs w:val="22"/>
              </w:rPr>
            </w:pPr>
            <w:r w:rsidRPr="001C67EF">
              <w:rPr>
                <w:rFonts w:cs="Times New Roman"/>
                <w:b/>
                <w:sz w:val="22"/>
                <w:szCs w:val="22"/>
              </w:rPr>
              <w:t>For tobacco wholesalers and importers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smaller tobacco wholesalers are now more valued in the industry and their input is being increasingly sought by other industry representatives</w:t>
            </w:r>
          </w:p>
          <w:p w:rsidR="00A12F51" w:rsidRPr="001C67EF" w:rsidRDefault="00A12F51" w:rsidP="00C63518">
            <w:pPr>
              <w:pStyle w:val="BulletPoints"/>
              <w:numPr>
                <w:ilvl w:val="0"/>
                <w:numId w:val="0"/>
              </w:numPr>
              <w:tabs>
                <w:tab w:val="clear" w:pos="357"/>
                <w:tab w:val="left" w:pos="175"/>
              </w:tabs>
              <w:spacing w:before="20" w:after="20"/>
              <w:rPr>
                <w:rFonts w:cs="Times New Roman"/>
                <w:b/>
                <w:sz w:val="22"/>
                <w:szCs w:val="22"/>
              </w:rPr>
            </w:pPr>
            <w:r w:rsidRPr="001C67EF">
              <w:rPr>
                <w:rFonts w:cs="Times New Roman"/>
                <w:b/>
                <w:sz w:val="22"/>
                <w:szCs w:val="22"/>
              </w:rPr>
              <w:lastRenderedPageBreak/>
              <w:t>For public health organisations and experts, government department</w:t>
            </w:r>
            <w:r w:rsidR="00980256" w:rsidRPr="001C67EF">
              <w:rPr>
                <w:rFonts w:cs="Times New Roman"/>
                <w:b/>
                <w:sz w:val="22"/>
                <w:szCs w:val="22"/>
              </w:rPr>
              <w:t>s</w:t>
            </w:r>
            <w:r w:rsidR="007D3872" w:rsidRPr="001C67EF">
              <w:rPr>
                <w:rFonts w:cs="Times New Roman"/>
                <w:b/>
                <w:sz w:val="22"/>
                <w:szCs w:val="22"/>
              </w:rPr>
              <w:t xml:space="preserve"> and health-</w:t>
            </w:r>
            <w:r w:rsidR="003F37BF" w:rsidRPr="001C67EF">
              <w:rPr>
                <w:rFonts w:cs="Times New Roman"/>
                <w:b/>
                <w:sz w:val="22"/>
                <w:szCs w:val="22"/>
              </w:rPr>
              <w:t>related</w:t>
            </w:r>
            <w:r w:rsidRPr="001C67EF">
              <w:rPr>
                <w:rFonts w:cs="Times New Roman"/>
                <w:b/>
                <w:sz w:val="22"/>
                <w:szCs w:val="22"/>
              </w:rPr>
              <w:t xml:space="preserve"> NGOs</w:t>
            </w:r>
          </w:p>
          <w:p w:rsidR="00A12F51" w:rsidRPr="001C67EF" w:rsidRDefault="007D3872"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t</w:t>
            </w:r>
            <w:r w:rsidR="00A12F51" w:rsidRPr="001C67EF">
              <w:rPr>
                <w:rFonts w:cs="Times New Roman"/>
                <w:sz w:val="22"/>
                <w:szCs w:val="22"/>
              </w:rPr>
              <w:t>he measure aligns with/supports a number of public health organisations</w:t>
            </w:r>
            <w:r w:rsidRPr="001C67EF">
              <w:rPr>
                <w:rFonts w:cs="Times New Roman"/>
                <w:sz w:val="22"/>
                <w:szCs w:val="22"/>
              </w:rPr>
              <w:t>’</w:t>
            </w:r>
            <w:r w:rsidR="00A12F51" w:rsidRPr="001C67EF">
              <w:rPr>
                <w:rFonts w:cs="Times New Roman"/>
                <w:sz w:val="22"/>
                <w:szCs w:val="22"/>
              </w:rPr>
              <w:t xml:space="preserve"> policy and strategic direction and as a result further assists these groups to make a positive and meaningful contribution to the community</w:t>
            </w:r>
          </w:p>
          <w:p w:rsidR="00A12F51" w:rsidRPr="001C67EF" w:rsidRDefault="008004FC" w:rsidP="00EC02D0">
            <w:pPr>
              <w:pStyle w:val="Bullet"/>
              <w:numPr>
                <w:ilvl w:val="0"/>
                <w:numId w:val="0"/>
              </w:numPr>
              <w:tabs>
                <w:tab w:val="clear" w:pos="357"/>
                <w:tab w:val="left" w:pos="175"/>
              </w:tabs>
              <w:spacing w:before="20" w:after="20"/>
              <w:ind w:left="175" w:hanging="175"/>
              <w:rPr>
                <w:rFonts w:cs="Times New Roman"/>
                <w:b/>
                <w:sz w:val="22"/>
                <w:szCs w:val="22"/>
              </w:rPr>
            </w:pPr>
            <w:r>
              <w:rPr>
                <w:rFonts w:cs="Times New Roman"/>
                <w:b/>
                <w:sz w:val="22"/>
                <w:szCs w:val="22"/>
              </w:rPr>
              <w:t>For consumers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the measure has facilitated ongoing debate about the harms of smoking and therefore raised more awareness amongst smokers and non-smokers about the health risks associated with smoking</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as smoking continues to become less socially acceptable, peer pressure may no longer be a reason fo</w:t>
            </w:r>
            <w:r w:rsidR="008004FC">
              <w:rPr>
                <w:rFonts w:cs="Times New Roman"/>
                <w:sz w:val="22"/>
                <w:szCs w:val="22"/>
              </w:rPr>
              <w:t>r young people to start smoking</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as the number of smokers reduce, so too will those young people wh</w:t>
            </w:r>
            <w:r w:rsidR="008004FC">
              <w:rPr>
                <w:rFonts w:cs="Times New Roman"/>
                <w:sz w:val="22"/>
                <w:szCs w:val="22"/>
              </w:rPr>
              <w:t>o model the behaviour of adults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greater productivity and happine</w:t>
            </w:r>
            <w:r w:rsidR="001410E6" w:rsidRPr="001C67EF">
              <w:rPr>
                <w:rFonts w:cs="Times New Roman"/>
                <w:sz w:val="22"/>
                <w:szCs w:val="22"/>
              </w:rPr>
              <w:t>ss (healthier and longer lives)</w:t>
            </w:r>
          </w:p>
        </w:tc>
        <w:tc>
          <w:tcPr>
            <w:tcW w:w="4486" w:type="dxa"/>
            <w:shd w:val="clear" w:color="auto" w:fill="auto"/>
          </w:tcPr>
          <w:p w:rsidR="00A12F51" w:rsidRPr="001C67EF" w:rsidRDefault="008004FC" w:rsidP="00EC02D0">
            <w:pPr>
              <w:pStyle w:val="Bullet"/>
              <w:numPr>
                <w:ilvl w:val="0"/>
                <w:numId w:val="0"/>
              </w:numPr>
              <w:tabs>
                <w:tab w:val="clear" w:pos="357"/>
                <w:tab w:val="left" w:pos="175"/>
              </w:tabs>
              <w:spacing w:before="20" w:after="20"/>
              <w:ind w:left="175" w:hanging="175"/>
              <w:rPr>
                <w:rFonts w:cs="Times New Roman"/>
                <w:b/>
                <w:sz w:val="22"/>
                <w:szCs w:val="22"/>
              </w:rPr>
            </w:pPr>
            <w:r>
              <w:rPr>
                <w:rFonts w:cs="Times New Roman"/>
                <w:b/>
                <w:sz w:val="22"/>
                <w:szCs w:val="22"/>
              </w:rPr>
              <w:lastRenderedPageBreak/>
              <w:t>For Australia</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media labelling Australia as the “nanny state” has a negative impa</w:t>
            </w:r>
            <w:r w:rsidR="008004FC">
              <w:rPr>
                <w:rFonts w:cs="Times New Roman"/>
                <w:sz w:val="22"/>
                <w:szCs w:val="22"/>
              </w:rPr>
              <w:t>ct on perceptions of Australia</w:t>
            </w:r>
          </w:p>
          <w:p w:rsidR="00A12F51" w:rsidRPr="001C67EF" w:rsidRDefault="00A12F51" w:rsidP="00EC02D0">
            <w:pPr>
              <w:pStyle w:val="Bullet"/>
              <w:numPr>
                <w:ilvl w:val="0"/>
                <w:numId w:val="0"/>
              </w:numPr>
              <w:tabs>
                <w:tab w:val="clear" w:pos="357"/>
                <w:tab w:val="left" w:pos="175"/>
              </w:tabs>
              <w:spacing w:before="20" w:after="20"/>
              <w:ind w:left="175" w:hanging="175"/>
              <w:rPr>
                <w:rFonts w:cs="Times New Roman"/>
                <w:b/>
                <w:sz w:val="22"/>
                <w:szCs w:val="22"/>
              </w:rPr>
            </w:pPr>
            <w:r w:rsidRPr="001C67EF">
              <w:rPr>
                <w:rFonts w:cs="Times New Roman"/>
                <w:b/>
                <w:sz w:val="22"/>
                <w:szCs w:val="22"/>
              </w:rPr>
              <w:t>For retailers</w:t>
            </w:r>
          </w:p>
          <w:p w:rsidR="00A12F51" w:rsidRPr="001C67EF" w:rsidRDefault="00416DF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 xml:space="preserve">tobacco plain packaging </w:t>
            </w:r>
            <w:r w:rsidR="00A12F51" w:rsidRPr="001C67EF">
              <w:rPr>
                <w:rFonts w:cs="Times New Roman"/>
                <w:sz w:val="22"/>
                <w:szCs w:val="22"/>
              </w:rPr>
              <w:t>has impaired the relationship between consumers and retailers as consumers are becoming increasingly frustrated with the long waiting times and being</w:t>
            </w:r>
            <w:r w:rsidR="008004FC">
              <w:rPr>
                <w:rFonts w:cs="Times New Roman"/>
                <w:sz w:val="22"/>
                <w:szCs w:val="22"/>
              </w:rPr>
              <w:t xml:space="preserve"> sold the wrong brands/variants</w:t>
            </w:r>
          </w:p>
          <w:p w:rsidR="00A12F51" w:rsidRPr="001C67EF" w:rsidRDefault="00A12F51" w:rsidP="00EC02D0">
            <w:pPr>
              <w:pStyle w:val="Bullet"/>
              <w:numPr>
                <w:ilvl w:val="0"/>
                <w:numId w:val="0"/>
              </w:numPr>
              <w:tabs>
                <w:tab w:val="clear" w:pos="357"/>
                <w:tab w:val="left" w:pos="175"/>
              </w:tabs>
              <w:spacing w:before="20" w:after="20"/>
              <w:ind w:left="175" w:hanging="175"/>
              <w:rPr>
                <w:rFonts w:cs="Times New Roman"/>
                <w:b/>
                <w:sz w:val="22"/>
                <w:szCs w:val="22"/>
              </w:rPr>
            </w:pPr>
            <w:r w:rsidRPr="001C67EF">
              <w:rPr>
                <w:rFonts w:cs="Times New Roman"/>
                <w:b/>
                <w:sz w:val="22"/>
                <w:szCs w:val="22"/>
              </w:rPr>
              <w:t>For consumers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as the smoking rate decreases, remaining smokers feel increasing</w:t>
            </w:r>
            <w:r w:rsidR="00980256" w:rsidRPr="001C67EF">
              <w:rPr>
                <w:rFonts w:cs="Times New Roman"/>
                <w:sz w:val="22"/>
                <w:szCs w:val="22"/>
              </w:rPr>
              <w:t>ly</w:t>
            </w:r>
            <w:r w:rsidRPr="001C67EF">
              <w:rPr>
                <w:rFonts w:cs="Times New Roman"/>
                <w:sz w:val="22"/>
                <w:szCs w:val="22"/>
              </w:rPr>
              <w:t xml:space="preserve"> marginalised and stigmatised, particularly those from </w:t>
            </w:r>
            <w:r w:rsidR="007D3872" w:rsidRPr="001C67EF">
              <w:rPr>
                <w:rFonts w:cs="Times New Roman"/>
                <w:sz w:val="22"/>
                <w:szCs w:val="22"/>
              </w:rPr>
              <w:t xml:space="preserve">low </w:t>
            </w:r>
            <w:r w:rsidR="007D3872" w:rsidRPr="001C67EF">
              <w:rPr>
                <w:rFonts w:cs="Times New Roman"/>
                <w:sz w:val="22"/>
                <w:szCs w:val="22"/>
              </w:rPr>
              <w:lastRenderedPageBreak/>
              <w:t>socio-economic groups (e.g.</w:t>
            </w:r>
            <w:r w:rsidRPr="001C67EF">
              <w:rPr>
                <w:rFonts w:cs="Times New Roman"/>
                <w:sz w:val="22"/>
                <w:szCs w:val="22"/>
              </w:rPr>
              <w:t xml:space="preserve"> Indigenous Australians) and increasingly feel that tobacco control measures (including </w:t>
            </w:r>
            <w:r w:rsidR="007D3872" w:rsidRPr="001C67EF">
              <w:rPr>
                <w:rFonts w:cs="Times New Roman"/>
                <w:sz w:val="22"/>
                <w:szCs w:val="22"/>
              </w:rPr>
              <w:t xml:space="preserve">tobacco </w:t>
            </w:r>
            <w:r w:rsidRPr="001C67EF">
              <w:rPr>
                <w:rFonts w:cs="Times New Roman"/>
                <w:sz w:val="22"/>
                <w:szCs w:val="22"/>
              </w:rPr>
              <w:t>plain packaging) is an infringement of their rights and freedom of choice</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 xml:space="preserve">the increasing level of negative stigma associated with smoking may reduce smokers’ willingness to speak to their doctor about their health concerns which enables early diagnosis </w:t>
            </w:r>
            <w:r w:rsidR="007D3872" w:rsidRPr="001C67EF">
              <w:rPr>
                <w:rFonts w:cs="Times New Roman"/>
                <w:sz w:val="22"/>
                <w:szCs w:val="22"/>
              </w:rPr>
              <w:t>of smoking related disease</w:t>
            </w:r>
          </w:p>
          <w:p w:rsidR="00A12F51" w:rsidRPr="001C67EF" w:rsidRDefault="00A12F51" w:rsidP="00EC02D0">
            <w:pPr>
              <w:pStyle w:val="Bullet"/>
              <w:tabs>
                <w:tab w:val="clear" w:pos="357"/>
                <w:tab w:val="left" w:pos="175"/>
              </w:tabs>
              <w:spacing w:before="20" w:after="20"/>
              <w:ind w:left="175" w:hanging="175"/>
              <w:rPr>
                <w:rFonts w:cs="Times New Roman"/>
                <w:sz w:val="22"/>
                <w:szCs w:val="22"/>
                <w:lang w:eastAsia="en-AU"/>
              </w:rPr>
            </w:pPr>
            <w:r w:rsidRPr="001C67EF">
              <w:rPr>
                <w:rFonts w:cs="Times New Roman"/>
                <w:sz w:val="22"/>
                <w:szCs w:val="22"/>
                <w:lang w:eastAsia="en-AU"/>
              </w:rPr>
              <w:t>the measure has impaired the relationship between retailers and consumers and reduced customer satisfac</w:t>
            </w:r>
            <w:r w:rsidR="007D3872" w:rsidRPr="001C67EF">
              <w:rPr>
                <w:rFonts w:cs="Times New Roman"/>
                <w:sz w:val="22"/>
                <w:szCs w:val="22"/>
                <w:lang w:eastAsia="en-AU"/>
              </w:rPr>
              <w:t>tion with the retail experience</w:t>
            </w:r>
          </w:p>
        </w:tc>
      </w:tr>
      <w:tr w:rsidR="00A12F51" w:rsidRPr="001C67EF" w:rsidTr="000D153A">
        <w:trPr>
          <w:jc w:val="center"/>
        </w:trPr>
        <w:tc>
          <w:tcPr>
            <w:tcW w:w="1157" w:type="dxa"/>
            <w:shd w:val="clear" w:color="auto" w:fill="DEEAF6"/>
          </w:tcPr>
          <w:p w:rsidR="00A12F51" w:rsidRPr="001C67EF" w:rsidRDefault="00455B6F" w:rsidP="00EC02D0">
            <w:pPr>
              <w:pStyle w:val="Bullet"/>
              <w:numPr>
                <w:ilvl w:val="0"/>
                <w:numId w:val="0"/>
              </w:numPr>
              <w:tabs>
                <w:tab w:val="clear" w:pos="357"/>
                <w:tab w:val="left" w:pos="0"/>
              </w:tabs>
              <w:spacing w:before="20" w:after="20"/>
              <w:rPr>
                <w:rFonts w:cs="Times New Roman"/>
                <w:b/>
                <w:sz w:val="22"/>
                <w:szCs w:val="22"/>
              </w:rPr>
            </w:pPr>
            <w:r w:rsidRPr="001C67EF">
              <w:rPr>
                <w:rFonts w:cs="Times New Roman"/>
                <w:b/>
                <w:sz w:val="22"/>
                <w:szCs w:val="22"/>
              </w:rPr>
              <w:lastRenderedPageBreak/>
              <w:t xml:space="preserve">Environ-mental </w:t>
            </w:r>
            <w:r w:rsidR="00A12F51" w:rsidRPr="001C67EF">
              <w:rPr>
                <w:rFonts w:cs="Times New Roman"/>
                <w:b/>
                <w:sz w:val="22"/>
                <w:szCs w:val="22"/>
              </w:rPr>
              <w:t xml:space="preserve"> </w:t>
            </w:r>
          </w:p>
        </w:tc>
        <w:tc>
          <w:tcPr>
            <w:tcW w:w="3429" w:type="dxa"/>
            <w:shd w:val="clear" w:color="auto" w:fill="auto"/>
          </w:tcPr>
          <w:p w:rsidR="00A12F51" w:rsidRPr="001C67EF" w:rsidRDefault="008004FC" w:rsidP="00EC02D0">
            <w:pPr>
              <w:pStyle w:val="Bullet"/>
              <w:numPr>
                <w:ilvl w:val="0"/>
                <w:numId w:val="0"/>
              </w:numPr>
              <w:tabs>
                <w:tab w:val="clear" w:pos="357"/>
                <w:tab w:val="left" w:pos="175"/>
              </w:tabs>
              <w:spacing w:before="20" w:after="20"/>
              <w:ind w:left="175" w:hanging="175"/>
              <w:rPr>
                <w:rFonts w:cs="Times New Roman"/>
                <w:b/>
                <w:sz w:val="22"/>
                <w:szCs w:val="22"/>
              </w:rPr>
            </w:pPr>
            <w:r>
              <w:rPr>
                <w:rFonts w:cs="Times New Roman"/>
                <w:b/>
                <w:sz w:val="22"/>
                <w:szCs w:val="22"/>
              </w:rPr>
              <w:t>For the government</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a reduction in litter and cleaning costs resulting from cigarette butts</w:t>
            </w:r>
          </w:p>
          <w:p w:rsidR="00A12F51" w:rsidRPr="001C67EF" w:rsidRDefault="00A12F51" w:rsidP="00EC02D0">
            <w:pPr>
              <w:pStyle w:val="Bullet"/>
              <w:numPr>
                <w:ilvl w:val="0"/>
                <w:numId w:val="0"/>
              </w:numPr>
              <w:tabs>
                <w:tab w:val="clear" w:pos="357"/>
                <w:tab w:val="left" w:pos="175"/>
              </w:tabs>
              <w:spacing w:before="20" w:after="20"/>
              <w:ind w:left="175" w:hanging="175"/>
              <w:rPr>
                <w:rFonts w:cs="Times New Roman"/>
                <w:b/>
                <w:sz w:val="22"/>
                <w:szCs w:val="22"/>
              </w:rPr>
            </w:pPr>
            <w:r w:rsidRPr="001C67EF">
              <w:rPr>
                <w:rFonts w:cs="Times New Roman"/>
                <w:b/>
                <w:sz w:val="22"/>
                <w:szCs w:val="22"/>
              </w:rPr>
              <w:t xml:space="preserve">For the community/general public </w:t>
            </w:r>
          </w:p>
          <w:p w:rsidR="00A12F51" w:rsidRPr="001C67EF" w:rsidRDefault="007D3872"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i</w:t>
            </w:r>
            <w:r w:rsidR="00A12F51" w:rsidRPr="001C67EF">
              <w:rPr>
                <w:rFonts w:cs="Times New Roman"/>
                <w:sz w:val="22"/>
                <w:szCs w:val="22"/>
              </w:rPr>
              <w:t>mprovements in amenity in community spaces</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reduced number of peo</w:t>
            </w:r>
            <w:r w:rsidR="007D3872" w:rsidRPr="001C67EF">
              <w:rPr>
                <w:rFonts w:cs="Times New Roman"/>
                <w:sz w:val="22"/>
                <w:szCs w:val="22"/>
              </w:rPr>
              <w:t>ple smoking in public places</w:t>
            </w:r>
            <w:r w:rsidRPr="001C67EF">
              <w:rPr>
                <w:rFonts w:cs="Times New Roman"/>
                <w:sz w:val="22"/>
                <w:szCs w:val="22"/>
              </w:rPr>
              <w:t xml:space="preserve"> therefore reducing peoples exposure to tobacco smoke</w:t>
            </w:r>
          </w:p>
          <w:p w:rsidR="00A12F51" w:rsidRPr="001C67EF" w:rsidRDefault="00A12F51"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a reduction in harmful waste from tobacco products, including from cigarette butts and packaging (with flow on effects for animal life and the quality of waterways)</w:t>
            </w:r>
          </w:p>
          <w:p w:rsidR="00A12F51" w:rsidRPr="001C67EF" w:rsidRDefault="007D3872" w:rsidP="00EC02D0">
            <w:pPr>
              <w:pStyle w:val="Bullet"/>
              <w:tabs>
                <w:tab w:val="clear" w:pos="357"/>
                <w:tab w:val="left" w:pos="175"/>
              </w:tabs>
              <w:spacing w:before="20" w:after="20"/>
              <w:ind w:left="175" w:hanging="175"/>
              <w:rPr>
                <w:rFonts w:cs="Times New Roman"/>
                <w:sz w:val="22"/>
                <w:szCs w:val="22"/>
              </w:rPr>
            </w:pPr>
            <w:r w:rsidRPr="001C67EF">
              <w:rPr>
                <w:rFonts w:cs="Times New Roman"/>
                <w:sz w:val="22"/>
                <w:szCs w:val="22"/>
              </w:rPr>
              <w:t>a</w:t>
            </w:r>
            <w:r w:rsidR="00A12F51" w:rsidRPr="001C67EF">
              <w:rPr>
                <w:rFonts w:cs="Times New Roman"/>
                <w:sz w:val="22"/>
                <w:szCs w:val="22"/>
              </w:rPr>
              <w:t xml:space="preserve"> reduction in potential fires from cigarette butts</w:t>
            </w:r>
          </w:p>
        </w:tc>
        <w:tc>
          <w:tcPr>
            <w:tcW w:w="4486" w:type="dxa"/>
            <w:shd w:val="clear" w:color="auto" w:fill="auto"/>
          </w:tcPr>
          <w:p w:rsidR="00A12F51" w:rsidRPr="001C67EF" w:rsidRDefault="00A12F51" w:rsidP="00EC02D0">
            <w:pPr>
              <w:pStyle w:val="Bullet"/>
              <w:numPr>
                <w:ilvl w:val="0"/>
                <w:numId w:val="0"/>
              </w:numPr>
              <w:tabs>
                <w:tab w:val="clear" w:pos="357"/>
                <w:tab w:val="left" w:pos="175"/>
              </w:tabs>
              <w:spacing w:before="20" w:after="20"/>
              <w:ind w:left="175" w:hanging="175"/>
              <w:rPr>
                <w:rFonts w:cs="Times New Roman"/>
                <w:b/>
                <w:sz w:val="22"/>
                <w:szCs w:val="22"/>
              </w:rPr>
            </w:pPr>
            <w:r w:rsidRPr="001C67EF">
              <w:rPr>
                <w:rFonts w:cs="Times New Roman"/>
                <w:b/>
                <w:sz w:val="22"/>
                <w:szCs w:val="22"/>
              </w:rPr>
              <w:t>F</w:t>
            </w:r>
            <w:r w:rsidR="008004FC">
              <w:rPr>
                <w:rFonts w:cs="Times New Roman"/>
                <w:b/>
                <w:sz w:val="22"/>
                <w:szCs w:val="22"/>
              </w:rPr>
              <w:t>or the community/general public</w:t>
            </w:r>
          </w:p>
          <w:p w:rsidR="00A12F51" w:rsidRPr="001C67EF" w:rsidRDefault="00A12F51" w:rsidP="00EC02D0">
            <w:pPr>
              <w:pStyle w:val="Bullet"/>
              <w:tabs>
                <w:tab w:val="clear" w:pos="357"/>
                <w:tab w:val="left" w:pos="175"/>
              </w:tabs>
              <w:spacing w:before="20" w:after="20"/>
              <w:ind w:left="175" w:hanging="175"/>
              <w:rPr>
                <w:rFonts w:cs="Times New Roman"/>
                <w:sz w:val="22"/>
                <w:szCs w:val="22"/>
                <w:lang w:eastAsia="en-AU"/>
              </w:rPr>
            </w:pPr>
            <w:r w:rsidRPr="001C67EF">
              <w:rPr>
                <w:rFonts w:cs="Times New Roman"/>
                <w:sz w:val="22"/>
                <w:szCs w:val="22"/>
                <w:lang w:eastAsia="en-AU"/>
              </w:rPr>
              <w:t>an increase in waste from the repackaging of tobacco products to comply with the new measure</w:t>
            </w:r>
          </w:p>
          <w:p w:rsidR="00A12F51" w:rsidRPr="001C67EF" w:rsidRDefault="00A12F51" w:rsidP="00455B6F">
            <w:pPr>
              <w:pStyle w:val="Bullet"/>
              <w:numPr>
                <w:ilvl w:val="0"/>
                <w:numId w:val="0"/>
              </w:numPr>
              <w:tabs>
                <w:tab w:val="clear" w:pos="357"/>
                <w:tab w:val="left" w:pos="175"/>
              </w:tabs>
              <w:spacing w:before="20" w:after="20"/>
              <w:ind w:left="175" w:hanging="175"/>
              <w:rPr>
                <w:rFonts w:cs="Times New Roman"/>
                <w:sz w:val="22"/>
                <w:szCs w:val="22"/>
                <w:highlight w:val="yellow"/>
              </w:rPr>
            </w:pPr>
          </w:p>
        </w:tc>
      </w:tr>
      <w:bookmarkEnd w:id="10"/>
      <w:bookmarkEnd w:id="11"/>
    </w:tbl>
    <w:p w:rsidR="00192E2B" w:rsidRDefault="00192E2B" w:rsidP="00D06FF2">
      <w:pPr>
        <w:spacing w:before="60" w:after="60"/>
      </w:pPr>
    </w:p>
    <w:p w:rsidR="00192E2B" w:rsidRDefault="00192E2B" w:rsidP="00192E2B">
      <w:r>
        <w:br w:type="page"/>
      </w:r>
    </w:p>
    <w:p w:rsidR="007056D4" w:rsidRPr="00C168CD" w:rsidRDefault="008A3D2E" w:rsidP="00D06FF2">
      <w:pPr>
        <w:spacing w:before="60" w:after="60"/>
      </w:pPr>
      <w:r>
        <w:lastRenderedPageBreak/>
        <w:t>Table 22</w:t>
      </w:r>
      <w:r w:rsidR="007056D4" w:rsidRPr="00C168CD">
        <w:t xml:space="preserve"> presents a sample of stakeholder views across groups in order to illustrate the di</w:t>
      </w:r>
      <w:r w:rsidR="008004FC">
        <w:t>versity of views.</w:t>
      </w:r>
    </w:p>
    <w:p w:rsidR="007056D4" w:rsidRPr="00BC2BBC" w:rsidRDefault="008A3D2E" w:rsidP="0005632A">
      <w:pPr>
        <w:pStyle w:val="TblHeading"/>
        <w:spacing w:before="240"/>
      </w:pPr>
      <w:proofErr w:type="gramStart"/>
      <w:r>
        <w:t>Table 22</w:t>
      </w:r>
      <w:r w:rsidR="007056D4" w:rsidRPr="00C168CD">
        <w:t>.</w:t>
      </w:r>
      <w:proofErr w:type="gramEnd"/>
      <w:r w:rsidR="007056D4" w:rsidRPr="00C168CD">
        <w:t xml:space="preserve"> </w:t>
      </w:r>
      <w:r w:rsidR="00843A11" w:rsidRPr="00C168CD">
        <w:t>Examples</w:t>
      </w:r>
      <w:r w:rsidR="008004FC">
        <w:t xml:space="preserve"> of stakeholder views</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“Any measure that reduces uptake of smoking or aids in cessation will reduce the impact on an already stressed health care system.”</w:t>
      </w:r>
      <w:r>
        <w:t xml:space="preserve"> </w:t>
      </w:r>
      <w:r w:rsidRPr="00124749">
        <w:rPr>
          <w:rFonts w:cs="Times New Roman"/>
          <w:szCs w:val="22"/>
        </w:rPr>
        <w:t>(Public health organisation/expert)</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“It is a benefit to us in terms of our international reputation. Countries are at different stages of implementing the Framework Convention Tobacco Control (FCTC)</w:t>
      </w:r>
      <w:r>
        <w:rPr>
          <w:rFonts w:cs="Times New Roman"/>
          <w:szCs w:val="22"/>
        </w:rPr>
        <w:t xml:space="preserve"> a</w:t>
      </w:r>
      <w:r w:rsidRPr="001C67EF">
        <w:rPr>
          <w:rFonts w:cs="Times New Roman"/>
          <w:szCs w:val="22"/>
        </w:rPr>
        <w:t>nd it is a great example to other countries that Australia is leading the way.”</w:t>
      </w:r>
      <w:r>
        <w:t xml:space="preserve"> </w:t>
      </w:r>
      <w:r w:rsidRPr="00124749">
        <w:rPr>
          <w:rFonts w:cs="Times New Roman"/>
          <w:szCs w:val="22"/>
        </w:rPr>
        <w:t>(Public health organisation/expert)</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“Cigarette butts are a major cause of litter, and there is a cost to taxpayers for cigarette receptacles, street clean-up etc. The costs of maintaining the amenity of the environment are reduced with less litter.”</w:t>
      </w:r>
      <w:r>
        <w:t xml:space="preserve"> </w:t>
      </w:r>
      <w:r w:rsidRPr="00124749">
        <w:rPr>
          <w:rFonts w:cs="Times New Roman"/>
          <w:szCs w:val="22"/>
        </w:rPr>
        <w:t>(Public health organisation/expert)</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“Elements of cost are all the work that has gone into legislation and getting it to this point… It is not a huge cost relative to the benefits.”</w:t>
      </w:r>
      <w:r>
        <w:t xml:space="preserve"> </w:t>
      </w:r>
      <w:r w:rsidRPr="00124749">
        <w:rPr>
          <w:rFonts w:cs="Times New Roman"/>
          <w:szCs w:val="22"/>
        </w:rPr>
        <w:t>(Public health organisation/expert)</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“There was a cost in terms of time in arguing for and preparing the legislation and fighting the legislation and so on, but vastly outweighed by the benefits.”</w:t>
      </w:r>
      <w:r>
        <w:t xml:space="preserve"> </w:t>
      </w:r>
      <w:r w:rsidRPr="00124749">
        <w:rPr>
          <w:rFonts w:cs="Times New Roman"/>
          <w:szCs w:val="22"/>
        </w:rPr>
        <w:t>(Public health organisation/expert)</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bCs/>
          <w:szCs w:val="22"/>
        </w:rPr>
      </w:pPr>
      <w:r w:rsidRPr="001C67EF">
        <w:rPr>
          <w:rFonts w:cs="Times New Roman"/>
          <w:szCs w:val="22"/>
        </w:rPr>
        <w:t>“Now all of the tobacco companies manufactures offshore … the manufacturer profits are repatriated – the tobacco companies are not on the ASX so if you have shares in those they are overseas … its drawing money out of Australia.”</w:t>
      </w:r>
      <w:r>
        <w:t xml:space="preserve"> </w:t>
      </w:r>
      <w:r w:rsidRPr="00124749">
        <w:rPr>
          <w:rFonts w:cs="Times New Roman"/>
          <w:szCs w:val="22"/>
        </w:rPr>
        <w:t>(Public health organisation/expert)</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“It’s accelerating the impact of our existing investment in tobacco control. We are, in NSW, doing a huge amount of work in tobacco control – it’s adding to that investment, and is likely to accelerate and increase the impact and outcomes we are likely to see from those efforts.”</w:t>
      </w:r>
      <w:r>
        <w:t xml:space="preserve"> </w:t>
      </w:r>
      <w:r w:rsidRPr="00124749">
        <w:rPr>
          <w:rFonts w:cs="Times New Roman"/>
          <w:szCs w:val="22"/>
        </w:rPr>
        <w:t>(Public health organisation/expert)</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“If smoking is declining then people who would ordinarily be spending their money on tobacco products will be spending it on something else.”</w:t>
      </w:r>
      <w:r>
        <w:t xml:space="preserve"> </w:t>
      </w:r>
      <w:r w:rsidRPr="00124749">
        <w:rPr>
          <w:rFonts w:cs="Times New Roman"/>
          <w:szCs w:val="22"/>
        </w:rPr>
        <w:t>(Public health organisation/expert)</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“…it has contributed to the substantial reduction in prevalence which has economic benefits in terms of reduced heath costs, for example, when you have less people going to hospital for tobacco-related disease or needing to be treated. We know that tobacco-related disease is a substantial financial burden to the health budget.”</w:t>
      </w:r>
      <w:r>
        <w:t xml:space="preserve"> </w:t>
      </w:r>
      <w:r w:rsidRPr="00124749">
        <w:rPr>
          <w:rFonts w:cs="Times New Roman"/>
          <w:szCs w:val="22"/>
        </w:rPr>
        <w:t>(Public health organisation/expert)</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“Tobacco plain packaging is contributing to reducing the number of smokers. This will in turn reduce the significant economic burden on health services associated with treating smoking related illnesses.”</w:t>
      </w:r>
      <w:r>
        <w:t xml:space="preserve"> </w:t>
      </w:r>
      <w:r w:rsidRPr="00124749">
        <w:rPr>
          <w:rFonts w:cs="Times New Roman"/>
          <w:szCs w:val="22"/>
        </w:rPr>
        <w:t>(Government department stakeholder)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“TPP is likely to have had a positive impact on our business by contributing to and maximising the impact of existing state-based tobacco control strategies aimed at reducing smoking prevalence and keeping people healthy.”</w:t>
      </w:r>
      <w:r>
        <w:t xml:space="preserve"> </w:t>
      </w:r>
      <w:r w:rsidRPr="00124749">
        <w:rPr>
          <w:rFonts w:cs="Times New Roman"/>
          <w:szCs w:val="22"/>
        </w:rPr>
        <w:t>(Government department stakeholder)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“Research shows that when people quit they then spend their money on other fast moving consumer goods. So the money is not lost to the economy.”</w:t>
      </w:r>
      <w:r>
        <w:t xml:space="preserve"> </w:t>
      </w:r>
      <w:r w:rsidRPr="00124749">
        <w:rPr>
          <w:rFonts w:cs="Times New Roman"/>
          <w:szCs w:val="22"/>
        </w:rPr>
        <w:t>(Government department stakeholder)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sidDel="00980256">
        <w:rPr>
          <w:rFonts w:cs="Times New Roman"/>
          <w:szCs w:val="22"/>
        </w:rPr>
        <w:t xml:space="preserve"> </w:t>
      </w:r>
      <w:r w:rsidRPr="001C67EF">
        <w:rPr>
          <w:rFonts w:cs="Times New Roman"/>
          <w:szCs w:val="22"/>
        </w:rPr>
        <w:t>“Tobacco products, particularly cigarette butts, are one of the most commonly littered items. As the numbers of smokers reduce or smokers are less open with their packaging, this may have a positive impact on this issue.”</w:t>
      </w:r>
      <w:r>
        <w:t xml:space="preserve"> </w:t>
      </w:r>
      <w:r w:rsidRPr="00124749">
        <w:rPr>
          <w:rFonts w:cs="Times New Roman"/>
          <w:szCs w:val="22"/>
        </w:rPr>
        <w:t>(Government department stakeholder)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w:t>
      </w:r>
      <w:proofErr w:type="gramStart"/>
      <w:r w:rsidRPr="001C67EF">
        <w:rPr>
          <w:rFonts w:cs="Times New Roman"/>
          <w:szCs w:val="22"/>
        </w:rPr>
        <w:t>tobacco</w:t>
      </w:r>
      <w:proofErr w:type="gramEnd"/>
      <w:r w:rsidRPr="001C67EF">
        <w:rPr>
          <w:rFonts w:cs="Times New Roman"/>
          <w:szCs w:val="22"/>
        </w:rPr>
        <w:t xml:space="preserve"> plain packaging) Continues to reinforce how socially unacceptable smoking has become over the decades and often the social unacceptability of smoking is one of the prompts for quitting for smokers.”</w:t>
      </w:r>
      <w:r>
        <w:t xml:space="preserve"> (</w:t>
      </w:r>
      <w:r w:rsidRPr="003B5577">
        <w:t>Government department</w:t>
      </w:r>
      <w:r>
        <w:t xml:space="preserve"> stakeholder)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“I suspect other costs that some businesses may have identified might be the training of staff in location of stocks because they are no longer easily identified, like colours etc.”</w:t>
      </w:r>
      <w:r>
        <w:t xml:space="preserve"> (</w:t>
      </w:r>
      <w:r w:rsidRPr="003B5577">
        <w:t>Government department</w:t>
      </w:r>
      <w:r>
        <w:t xml:space="preserve"> stakeholder)</w:t>
      </w:r>
    </w:p>
    <w:p w:rsidR="00762B72"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“(Consumers) may be spending that money that’s been freed up in more productive ways locally.”</w:t>
      </w:r>
      <w:r>
        <w:rPr>
          <w:rFonts w:cs="Times New Roman"/>
          <w:szCs w:val="22"/>
        </w:rPr>
        <w:t xml:space="preserve"> (Health related NGO)</w:t>
      </w:r>
    </w:p>
    <w:p w:rsidR="0005632A"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“The cost of reducing smoking is that people would live longer, and this will cost more (in terms or paying th</w:t>
      </w:r>
      <w:r>
        <w:rPr>
          <w:rFonts w:cs="Times New Roman"/>
          <w:szCs w:val="22"/>
        </w:rPr>
        <w:t>e pension and supporting them)”</w:t>
      </w:r>
      <w:r>
        <w:t xml:space="preserve"> </w:t>
      </w:r>
      <w:r w:rsidRPr="00F7396C">
        <w:rPr>
          <w:rFonts w:cs="Times New Roman"/>
          <w:szCs w:val="22"/>
        </w:rPr>
        <w:t>(Health related NGO)</w:t>
      </w:r>
    </w:p>
    <w:p w:rsidR="0005632A" w:rsidRDefault="0005632A"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p>
    <w:p w:rsidR="00762B72"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lastRenderedPageBreak/>
        <w:t xml:space="preserve">“There has not been </w:t>
      </w:r>
      <w:r>
        <w:rPr>
          <w:rFonts w:cs="Times New Roman"/>
          <w:szCs w:val="22"/>
        </w:rPr>
        <w:t xml:space="preserve">a </w:t>
      </w:r>
      <w:r w:rsidRPr="001C67EF">
        <w:rPr>
          <w:rFonts w:cs="Times New Roman"/>
          <w:szCs w:val="22"/>
        </w:rPr>
        <w:t>switch in people going from small retailers to big retails – the percentage stays the same. Therefore, it has not negatively impacted m</w:t>
      </w:r>
      <w:r>
        <w:rPr>
          <w:rFonts w:cs="Times New Roman"/>
          <w:szCs w:val="22"/>
        </w:rPr>
        <w:t xml:space="preserve">ore retailers – which </w:t>
      </w:r>
      <w:proofErr w:type="gramStart"/>
      <w:r>
        <w:rPr>
          <w:rFonts w:cs="Times New Roman"/>
          <w:szCs w:val="22"/>
        </w:rPr>
        <w:t>is</w:t>
      </w:r>
      <w:proofErr w:type="gramEnd"/>
      <w:r>
        <w:rPr>
          <w:rFonts w:cs="Times New Roman"/>
          <w:szCs w:val="22"/>
        </w:rPr>
        <w:t xml:space="preserve"> good.”</w:t>
      </w:r>
      <w:r>
        <w:t xml:space="preserve"> </w:t>
      </w:r>
      <w:r w:rsidRPr="00F7396C">
        <w:rPr>
          <w:rFonts w:cs="Times New Roman"/>
          <w:szCs w:val="22"/>
        </w:rPr>
        <w:t>(Health related NGO)</w:t>
      </w:r>
    </w:p>
    <w:p w:rsidR="00762B72"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“There might be some economic downsides for smaller tobacconists, probably less tobacconi</w:t>
      </w:r>
      <w:r>
        <w:rPr>
          <w:rFonts w:cs="Times New Roman"/>
          <w:szCs w:val="22"/>
        </w:rPr>
        <w:t>sts now than there used to be.”</w:t>
      </w:r>
      <w:r>
        <w:t xml:space="preserve"> </w:t>
      </w:r>
      <w:r w:rsidRPr="00F7396C">
        <w:rPr>
          <w:rFonts w:cs="Times New Roman"/>
          <w:szCs w:val="22"/>
        </w:rPr>
        <w:t>(Health related NGO)</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“With a decrease in smoking rate, we can see a decrease in second-hand smoking.”</w:t>
      </w:r>
      <w:r>
        <w:t xml:space="preserve"> </w:t>
      </w:r>
      <w:r w:rsidRPr="00F7396C">
        <w:rPr>
          <w:rFonts w:cs="Times New Roman"/>
          <w:szCs w:val="22"/>
        </w:rPr>
        <w:t>(Health related NGO)</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“I think that there is a possibility that tobacco plain packaging could further increase the stigma </w:t>
      </w:r>
      <w:proofErr w:type="gramStart"/>
      <w:r w:rsidRPr="001C67EF">
        <w:rPr>
          <w:rFonts w:cs="Times New Roman"/>
          <w:szCs w:val="22"/>
        </w:rPr>
        <w:t>smokers</w:t>
      </w:r>
      <w:proofErr w:type="gramEnd"/>
      <w:r w:rsidRPr="001C67EF">
        <w:rPr>
          <w:rFonts w:cs="Times New Roman"/>
          <w:szCs w:val="22"/>
        </w:rPr>
        <w:t xml:space="preserve"> experience, which could reduce their willingness to speak to their doctor about their intention to quit.”</w:t>
      </w:r>
      <w:r>
        <w:t xml:space="preserve"> </w:t>
      </w:r>
      <w:r w:rsidRPr="00F7396C">
        <w:rPr>
          <w:rFonts w:cs="Times New Roman"/>
          <w:szCs w:val="22"/>
        </w:rPr>
        <w:t>(Health related NGO)</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“We assisted small businesses and retailers through the process to make sure they complied… [We] spent a lot of money.” </w:t>
      </w:r>
      <w:r>
        <w:rPr>
          <w:rFonts w:cs="Times New Roman"/>
          <w:szCs w:val="22"/>
        </w:rPr>
        <w:t xml:space="preserve">(Tobacco </w:t>
      </w:r>
      <w:proofErr w:type="gramStart"/>
      <w:r>
        <w:rPr>
          <w:rFonts w:cs="Times New Roman"/>
          <w:szCs w:val="22"/>
        </w:rPr>
        <w:t>company</w:t>
      </w:r>
      <w:proofErr w:type="gramEnd"/>
      <w:r>
        <w:rPr>
          <w:rFonts w:cs="Times New Roman"/>
          <w:szCs w:val="22"/>
        </w:rPr>
        <w:t>)</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w:t>
      </w:r>
      <w:proofErr w:type="gramStart"/>
      <w:r w:rsidRPr="001C67EF">
        <w:rPr>
          <w:rFonts w:cs="Times New Roman"/>
          <w:szCs w:val="22"/>
        </w:rPr>
        <w:t>Finding people to actually do the artwork changes, getting the legally approved artwork… it was</w:t>
      </w:r>
      <w:proofErr w:type="gramEnd"/>
      <w:r w:rsidRPr="001C67EF">
        <w:rPr>
          <w:rFonts w:cs="Times New Roman"/>
          <w:szCs w:val="22"/>
        </w:rPr>
        <w:t xml:space="preserve"> an increase on [our] resources which again came back to cost.”</w:t>
      </w:r>
      <w:r>
        <w:rPr>
          <w:rFonts w:cs="Times New Roman"/>
          <w:szCs w:val="22"/>
        </w:rPr>
        <w:t xml:space="preserve"> (Tobacco </w:t>
      </w:r>
      <w:proofErr w:type="gramStart"/>
      <w:r>
        <w:rPr>
          <w:rFonts w:cs="Times New Roman"/>
          <w:szCs w:val="22"/>
        </w:rPr>
        <w:t>company</w:t>
      </w:r>
      <w:proofErr w:type="gramEnd"/>
      <w:r>
        <w:rPr>
          <w:rFonts w:cs="Times New Roman"/>
          <w:szCs w:val="22"/>
        </w:rPr>
        <w:t>)</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“It is the extra time at various points within the supply chain.” </w:t>
      </w:r>
      <w:r>
        <w:rPr>
          <w:rFonts w:cs="Times New Roman"/>
          <w:szCs w:val="22"/>
        </w:rPr>
        <w:t>(Retailer)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“The amount of time it takes people to work out what stock [has been] delivered and picking errors from manufacturers is higher, ordering is difficult.” </w:t>
      </w:r>
      <w:r w:rsidRPr="00F7396C">
        <w:rPr>
          <w:rFonts w:cs="Times New Roman"/>
          <w:szCs w:val="22"/>
        </w:rPr>
        <w:t>(Retailer)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“From our perspective it was a great expense for us to implement these measures… You’re talking about training staff, [including] warehouse staff and onsite staff.”</w:t>
      </w:r>
      <w:r>
        <w:t xml:space="preserve"> </w:t>
      </w:r>
      <w:r w:rsidRPr="00F7396C">
        <w:rPr>
          <w:rFonts w:cs="Times New Roman"/>
          <w:szCs w:val="22"/>
        </w:rPr>
        <w:t>(Retailer)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“[It is] taking longer now to buy tobacco because [the products] aren’t marked as well as they used to be.” </w:t>
      </w:r>
      <w:r w:rsidRPr="00F7396C">
        <w:rPr>
          <w:rFonts w:cs="Times New Roman"/>
          <w:szCs w:val="22"/>
        </w:rPr>
        <w:t>(Retailer)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“There are also the non-financial costs which are the frustrations of customers getting the wrong product and them having to come back.” </w:t>
      </w:r>
      <w:r w:rsidRPr="00F7396C">
        <w:rPr>
          <w:rFonts w:cs="Times New Roman"/>
          <w:szCs w:val="22"/>
        </w:rPr>
        <w:t>(Retailer)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“Smokers are happy to smoke the value brand and not have to care about their image... [there is] greater market potential for “value” players.” </w:t>
      </w:r>
      <w:r>
        <w:rPr>
          <w:rFonts w:cs="Times New Roman"/>
          <w:szCs w:val="22"/>
        </w:rPr>
        <w:t>(Tobacco wholesaler and importer)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“The cost of rebranding and repackaging the product I import is a waste of time and very costly” </w:t>
      </w:r>
      <w:r w:rsidRPr="00F7396C">
        <w:rPr>
          <w:rFonts w:cs="Times New Roman"/>
          <w:szCs w:val="22"/>
        </w:rPr>
        <w:t>(Tobacco wholesaler and importer)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“[There are] costs associated with re-packaging tobacco products… to ensure compliance before the products [are] released back into the market” </w:t>
      </w:r>
      <w:r w:rsidRPr="00F7396C">
        <w:rPr>
          <w:rFonts w:cs="Times New Roman"/>
          <w:szCs w:val="22"/>
        </w:rPr>
        <w:t>(Tobacco wholesaler and importer)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“[Wholesalers] are moving down in their sales price of cigarettes… it has become more competitive in the value end of the market.” </w:t>
      </w:r>
      <w:r w:rsidRPr="00F7396C">
        <w:rPr>
          <w:rFonts w:cs="Times New Roman"/>
          <w:szCs w:val="22"/>
        </w:rPr>
        <w:t>(Tobacco wholesaler and importer)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“[Plain packaging] has been very bad for the environment [as we] have to repackage everything.”</w:t>
      </w:r>
      <w:r>
        <w:t xml:space="preserve"> </w:t>
      </w:r>
      <w:r w:rsidRPr="00F7396C">
        <w:rPr>
          <w:rFonts w:cs="Times New Roman"/>
          <w:szCs w:val="22"/>
        </w:rPr>
        <w:t>(Tobacco wholesaler and importer)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“The removal of branding has begun to erode consumer recognition for premium and mid-range categories, therefore encouraging the tobacco industry to engage in future price wars.”  </w:t>
      </w:r>
      <w:r>
        <w:rPr>
          <w:rFonts w:cs="Times New Roman"/>
          <w:szCs w:val="22"/>
        </w:rPr>
        <w:t>(Tobacco packaging manufacturer)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“The </w:t>
      </w:r>
      <w:proofErr w:type="gramStart"/>
      <w:r w:rsidRPr="001C67EF">
        <w:rPr>
          <w:rFonts w:cs="Times New Roman"/>
          <w:szCs w:val="22"/>
        </w:rPr>
        <w:t>rise of illicit products in the market puts consumer health at risk...illegal cigarettes often contain</w:t>
      </w:r>
      <w:proofErr w:type="gramEnd"/>
      <w:r w:rsidRPr="001C67EF">
        <w:rPr>
          <w:rFonts w:cs="Times New Roman"/>
          <w:szCs w:val="22"/>
        </w:rPr>
        <w:t xml:space="preserve"> extremely dangers levels of toxins, with up to 30 times more lead than regulated sticks.” </w:t>
      </w:r>
      <w:r w:rsidRPr="00F7396C">
        <w:rPr>
          <w:rFonts w:cs="Times New Roman"/>
          <w:szCs w:val="22"/>
        </w:rPr>
        <w:t>(Tobacco packaging manufacturer)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“Retail outlets report that the Act has affected staff training times, and has implications for personal security as staff must turn their back on the customer for a longer period of time.”</w:t>
      </w:r>
      <w:r>
        <w:t xml:space="preserve"> </w:t>
      </w:r>
      <w:r w:rsidRPr="00F7396C">
        <w:rPr>
          <w:rFonts w:cs="Times New Roman"/>
          <w:szCs w:val="22"/>
        </w:rPr>
        <w:t>(Tobacco packaging manufacturer)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w:t>
      </w:r>
      <w:proofErr w:type="gramStart"/>
      <w:r w:rsidRPr="001C67EF">
        <w:rPr>
          <w:rFonts w:cs="Times New Roman"/>
          <w:szCs w:val="22"/>
        </w:rPr>
        <w:t>Reduced smokers equals</w:t>
      </w:r>
      <w:proofErr w:type="gramEnd"/>
      <w:r w:rsidRPr="001C67EF">
        <w:rPr>
          <w:rFonts w:cs="Times New Roman"/>
          <w:szCs w:val="22"/>
        </w:rPr>
        <w:t xml:space="preserve"> reduced hospital needs. </w:t>
      </w:r>
      <w:proofErr w:type="gramStart"/>
      <w:r w:rsidRPr="001C67EF">
        <w:rPr>
          <w:rFonts w:cs="Times New Roman"/>
          <w:szCs w:val="22"/>
        </w:rPr>
        <w:t>Reduced smokers means</w:t>
      </w:r>
      <w:proofErr w:type="gramEnd"/>
      <w:r w:rsidRPr="001C67EF">
        <w:rPr>
          <w:rFonts w:cs="Times New Roman"/>
          <w:szCs w:val="22"/>
        </w:rPr>
        <w:t xml:space="preserve"> a healthier population.” </w:t>
      </w:r>
      <w:r>
        <w:rPr>
          <w:rFonts w:cs="Times New Roman"/>
          <w:szCs w:val="22"/>
        </w:rPr>
        <w:t>(Consumer)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w:t>
      </w:r>
      <w:proofErr w:type="gramStart"/>
      <w:r w:rsidRPr="001C67EF">
        <w:rPr>
          <w:rFonts w:cs="Times New Roman"/>
          <w:szCs w:val="22"/>
        </w:rPr>
        <w:t>Less</w:t>
      </w:r>
      <w:proofErr w:type="gramEnd"/>
      <w:r w:rsidRPr="001C67EF">
        <w:rPr>
          <w:rFonts w:cs="Times New Roman"/>
          <w:szCs w:val="22"/>
        </w:rPr>
        <w:t xml:space="preserve"> cigarettes smoked … more money in their pockets to purchase other products.” </w:t>
      </w:r>
      <w:r w:rsidRPr="00F7396C">
        <w:rPr>
          <w:rFonts w:cs="Times New Roman"/>
          <w:szCs w:val="22"/>
        </w:rPr>
        <w:t>(Consumer)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“All brands look the same so no stigma attached to budget brands anymore.” </w:t>
      </w:r>
      <w:r w:rsidRPr="00F7396C">
        <w:rPr>
          <w:rFonts w:cs="Times New Roman"/>
          <w:szCs w:val="22"/>
        </w:rPr>
        <w:t>(Consumer)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“[There are] less cigarette butts in the environment.” </w:t>
      </w:r>
      <w:r w:rsidRPr="00F7396C">
        <w:rPr>
          <w:rFonts w:cs="Times New Roman"/>
          <w:szCs w:val="22"/>
        </w:rPr>
        <w:t>(Consumer)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“The amount of times I have been sold incorrect product is ridiculous. Once opened no exchanged [Sic?] will be offered even though you have not been sold what you asked for.” </w:t>
      </w:r>
      <w:r w:rsidRPr="00C60FBD">
        <w:rPr>
          <w:rFonts w:cs="Times New Roman"/>
          <w:szCs w:val="22"/>
        </w:rPr>
        <w:t>(Consumer)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“It often takes more time for serving staff to locate the brand and variant required.” </w:t>
      </w:r>
      <w:r w:rsidRPr="00C60FBD">
        <w:rPr>
          <w:rFonts w:cs="Times New Roman"/>
          <w:szCs w:val="22"/>
        </w:rPr>
        <w:t>(Consumer)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“[There has been] a decrease in excise for government with smokers choosing cheaper cigarettes.”</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lastRenderedPageBreak/>
        <w:t xml:space="preserve"> “[Retailers are] losing customers due to extra time to serve cigarettes [and it takes] extra time to stocktake and do costings.” </w:t>
      </w:r>
      <w:r w:rsidRPr="00C60FBD">
        <w:rPr>
          <w:rFonts w:cs="Times New Roman"/>
          <w:szCs w:val="22"/>
        </w:rPr>
        <w:t>(Consumer)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“Smokers are being discriminated against for using a legal product.” </w:t>
      </w:r>
      <w:r w:rsidRPr="00C60FBD">
        <w:rPr>
          <w:rFonts w:cs="Times New Roman"/>
          <w:szCs w:val="22"/>
        </w:rPr>
        <w:t>(Consumer)</w:t>
      </w:r>
    </w:p>
    <w:p w:rsidR="00762B72" w:rsidRPr="001C67EF" w:rsidRDefault="00762B72" w:rsidP="00762B72">
      <w:pPr>
        <w:pStyle w:val="Quotation"/>
        <w:widowControl w:val="0"/>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rPr>
          <w:rFonts w:cs="Times New Roman"/>
          <w:szCs w:val="22"/>
        </w:rPr>
      </w:pPr>
      <w:r w:rsidRPr="001C67EF">
        <w:rPr>
          <w:rFonts w:cs="Times New Roman"/>
          <w:szCs w:val="22"/>
        </w:rPr>
        <w:t xml:space="preserve"> “It takes retail staff ages to find products hidden behind blank doors when all products look the same… </w:t>
      </w:r>
      <w:proofErr w:type="gramStart"/>
      <w:r w:rsidRPr="001C67EF">
        <w:rPr>
          <w:rFonts w:cs="Times New Roman"/>
          <w:szCs w:val="22"/>
        </w:rPr>
        <w:t>The time delay and resulting frustration impacts negatively on staff and consumers.”</w:t>
      </w:r>
      <w:proofErr w:type="gramEnd"/>
      <w:r>
        <w:t xml:space="preserve"> </w:t>
      </w:r>
      <w:r w:rsidRPr="00C60FBD">
        <w:rPr>
          <w:rFonts w:cs="Times New Roman"/>
          <w:szCs w:val="22"/>
        </w:rPr>
        <w:t>(Consumer)</w:t>
      </w:r>
    </w:p>
    <w:p w:rsidR="00762B72" w:rsidRDefault="00762B72" w:rsidP="00762B72">
      <w:pPr>
        <w:pStyle w:val="Quotation"/>
        <w:pBdr>
          <w:top w:val="single" w:sz="4" w:space="1" w:color="auto"/>
          <w:left w:val="single" w:sz="4" w:space="4" w:color="auto"/>
          <w:bottom w:val="single" w:sz="4" w:space="1" w:color="auto"/>
          <w:right w:val="single" w:sz="4" w:space="4" w:color="auto"/>
        </w:pBdr>
        <w:shd w:val="clear" w:color="auto" w:fill="DBE5F1" w:themeFill="accent1" w:themeFillTint="33"/>
        <w:spacing w:before="40" w:after="40"/>
      </w:pPr>
      <w:r w:rsidRPr="001C67EF">
        <w:rPr>
          <w:rFonts w:cs="Times New Roman"/>
          <w:szCs w:val="22"/>
        </w:rPr>
        <w:t xml:space="preserve"> “More packaging, so more waste for the environment.”</w:t>
      </w:r>
      <w:r>
        <w:t xml:space="preserve"> </w:t>
      </w:r>
      <w:r w:rsidRPr="00C60FBD">
        <w:rPr>
          <w:rFonts w:cs="Times New Roman"/>
          <w:szCs w:val="22"/>
        </w:rPr>
        <w:t>(Consumer)</w:t>
      </w:r>
    </w:p>
    <w:p w:rsidR="00740268" w:rsidRPr="00740268" w:rsidRDefault="00D7194F" w:rsidP="00187AEC">
      <w:pPr>
        <w:pStyle w:val="Heading1"/>
      </w:pPr>
      <w:r>
        <w:br w:type="page"/>
      </w:r>
      <w:bookmarkStart w:id="142" w:name="_Toc444007955"/>
      <w:r w:rsidR="00733B31">
        <w:lastRenderedPageBreak/>
        <w:t>Section 3</w:t>
      </w:r>
      <w:r w:rsidR="008C7B01" w:rsidRPr="00740268">
        <w:t xml:space="preserve">: </w:t>
      </w:r>
      <w:r w:rsidR="00A70628">
        <w:t>Other issues</w:t>
      </w:r>
      <w:bookmarkEnd w:id="142"/>
    </w:p>
    <w:p w:rsidR="00996A35" w:rsidRDefault="00996A35" w:rsidP="00996A35">
      <w:pPr>
        <w:spacing w:before="60" w:after="60"/>
        <w:rPr>
          <w:rFonts w:cs="Times New Roman"/>
        </w:rPr>
      </w:pPr>
      <w:bookmarkStart w:id="143" w:name="_Toc418770519"/>
      <w:r>
        <w:rPr>
          <w:rFonts w:cs="Times New Roman"/>
        </w:rPr>
        <w:t>This section of the report presents stakeholder views on other issues which do not fall neatly under any one question. These include:</w:t>
      </w:r>
    </w:p>
    <w:p w:rsidR="00996A35" w:rsidRDefault="003D139E" w:rsidP="00EC02D0">
      <w:pPr>
        <w:pStyle w:val="Bullet"/>
      </w:pPr>
      <w:r>
        <w:t>T</w:t>
      </w:r>
      <w:r w:rsidR="00996A35" w:rsidRPr="001C67EF">
        <w:t>obacco plain packaging and its impact on illicit tobacco</w:t>
      </w:r>
      <w:r>
        <w:t>; and</w:t>
      </w:r>
    </w:p>
    <w:p w:rsidR="00996A35" w:rsidRPr="00D020E1" w:rsidRDefault="003D139E" w:rsidP="00EC02D0">
      <w:pPr>
        <w:pStyle w:val="Bullet"/>
      </w:pPr>
      <w:r>
        <w:t>General</w:t>
      </w:r>
      <w:r w:rsidR="00996A35">
        <w:t xml:space="preserve"> views and beliefs</w:t>
      </w:r>
      <w:r w:rsidR="008004FC">
        <w:t xml:space="preserve"> about tobacco plain packaging.</w:t>
      </w:r>
    </w:p>
    <w:p w:rsidR="008C7B01" w:rsidRDefault="00733B31" w:rsidP="00733B31">
      <w:pPr>
        <w:pStyle w:val="Heading2"/>
      </w:pPr>
      <w:bookmarkStart w:id="144" w:name="_Toc444007956"/>
      <w:r>
        <w:t xml:space="preserve">3.1 </w:t>
      </w:r>
      <w:r w:rsidR="00757ACF">
        <w:t>I</w:t>
      </w:r>
      <w:r w:rsidR="008C7B01" w:rsidRPr="00740268">
        <w:t>llicit tobacco</w:t>
      </w:r>
      <w:bookmarkEnd w:id="143"/>
      <w:bookmarkEnd w:id="144"/>
    </w:p>
    <w:p w:rsidR="00996A35" w:rsidRDefault="00A01F2D" w:rsidP="00996A35">
      <w:pPr>
        <w:spacing w:before="60" w:after="60"/>
      </w:pPr>
      <w:r>
        <w:t xml:space="preserve">Tobacco company </w:t>
      </w:r>
      <w:r>
        <w:rPr>
          <w:szCs w:val="20"/>
        </w:rPr>
        <w:t>stakeholder/s</w:t>
      </w:r>
      <w:r w:rsidR="00996A35">
        <w:t>, tobacco wholesalers and importers, tobacco packaging manufacturers and non-health re</w:t>
      </w:r>
      <w:r>
        <w:t xml:space="preserve">lated NGO </w:t>
      </w:r>
      <w:r>
        <w:rPr>
          <w:szCs w:val="20"/>
        </w:rPr>
        <w:t>stakeholder/s</w:t>
      </w:r>
      <w:r w:rsidR="00996A35">
        <w:t xml:space="preserve"> referred to </w:t>
      </w:r>
      <w:r w:rsidR="00D00930">
        <w:t>their analysis of published</w:t>
      </w:r>
      <w:r w:rsidR="00C57325">
        <w:t xml:space="preserve"> </w:t>
      </w:r>
      <w:r w:rsidR="00996A35">
        <w:t xml:space="preserve">reports </w:t>
      </w:r>
      <w:r w:rsidR="006403B5">
        <w:t>prepared by KPMG (2014) and</w:t>
      </w:r>
      <w:r w:rsidR="00996A35">
        <w:t xml:space="preserve"> Deloitte (</w:t>
      </w:r>
      <w:r w:rsidR="00996A35" w:rsidRPr="006403B5">
        <w:t xml:space="preserve">2011) and </w:t>
      </w:r>
      <w:r w:rsidR="00C57325" w:rsidRPr="006403B5">
        <w:t xml:space="preserve">unpublished </w:t>
      </w:r>
      <w:r w:rsidR="00996A35" w:rsidRPr="006403B5">
        <w:t>data</w:t>
      </w:r>
      <w:r w:rsidR="00996A35">
        <w:t xml:space="preserve"> from </w:t>
      </w:r>
      <w:proofErr w:type="spellStart"/>
      <w:r w:rsidR="00996A35">
        <w:t>Euromonitor</w:t>
      </w:r>
      <w:proofErr w:type="spellEnd"/>
      <w:r w:rsidR="00996A35">
        <w:t xml:space="preserve"> International (</w:t>
      </w:r>
      <w:r w:rsidR="00996A35" w:rsidRPr="00B33082">
        <w:t>2014</w:t>
      </w:r>
      <w:r w:rsidR="00996A35">
        <w:t xml:space="preserve">) </w:t>
      </w:r>
      <w:r w:rsidR="00996A35" w:rsidRPr="00B33082">
        <w:t xml:space="preserve">which </w:t>
      </w:r>
      <w:r w:rsidR="00996A35">
        <w:t>they believe demonstrate that the illicit tobacco market has increased in Australia following the implementation of the tobacco plain packaging measure; and as a result of successive ad hoc excise increases. Retailers in particular expressed concerns about the perceived rise in illicit tobacco and how this may lead to increased competition in the market. Both retailers and tobacco packaging manufacturers also discussed the potential negative health impacts of people’s exposure to smoke from unregu</w:t>
      </w:r>
      <w:r w:rsidR="008004FC">
        <w:t>lated/illegal tobacco products.</w:t>
      </w:r>
    </w:p>
    <w:p w:rsidR="00996A35" w:rsidRDefault="00996A35" w:rsidP="00996A35">
      <w:pPr>
        <w:spacing w:before="60" w:after="60"/>
      </w:pPr>
      <w:r>
        <w:t>Publ</w:t>
      </w:r>
      <w:r w:rsidR="00A01F2D">
        <w:t xml:space="preserve">ic health organisation and expert </w:t>
      </w:r>
      <w:r w:rsidR="00A01F2D">
        <w:rPr>
          <w:szCs w:val="20"/>
        </w:rPr>
        <w:t>stakeholder/s</w:t>
      </w:r>
      <w:r>
        <w:t xml:space="preserve"> noted that prior to the introduction of tobacco plain packaging, the tobacco industry claimed that the legislation would lead to an increase in the illicit trade of tobacco products; and they are aware that industry continues to claim that the illicit trade of tobacco has increased. This group believe that these claims have been made in Australia and globally, particularly in countries that have either taken steps to introduce plain or standardised packaging, or have indicated an intention to do so. They also believe that the stance taken by industry is both an exaggeration in relation to the level of the illicit tobacco trade in Australia, a tactic used to mislead people about the impacts of tobacco plain packaging and an attempt to create concern about the potential impact of decreasing government revenue with the intention of halting or slowing down adoption of similar legislation in other countr</w:t>
      </w:r>
      <w:r w:rsidR="00A01F2D">
        <w:t xml:space="preserve">ies. Public health organisation and expert </w:t>
      </w:r>
      <w:r w:rsidR="00A01F2D">
        <w:rPr>
          <w:szCs w:val="20"/>
        </w:rPr>
        <w:t>stakeholder/s</w:t>
      </w:r>
      <w:r>
        <w:t xml:space="preserve"> state that tobacco industry funded reports: a) have estimated very high levels of illicit tobacco use in Australia; and b) are flawed. For example:</w:t>
      </w:r>
    </w:p>
    <w:p w:rsidR="00996A35" w:rsidRDefault="003D139E" w:rsidP="00EC02D0">
      <w:pPr>
        <w:pStyle w:val="Bullet"/>
        <w:spacing w:before="60" w:after="60"/>
      </w:pPr>
      <w:r>
        <w:t>R</w:t>
      </w:r>
      <w:r w:rsidR="00996A35">
        <w:t xml:space="preserve">eports that use internet surveys are likely to over-represent those who are interested in illicit ‘chop </w:t>
      </w:r>
      <w:proofErr w:type="spellStart"/>
      <w:r w:rsidR="00996A35">
        <w:t>chop</w:t>
      </w:r>
      <w:proofErr w:type="spellEnd"/>
      <w:r w:rsidR="00996A35">
        <w:t>’ tobacco</w:t>
      </w:r>
      <w:r>
        <w:t>;</w:t>
      </w:r>
    </w:p>
    <w:p w:rsidR="00996A35" w:rsidRDefault="003D139E" w:rsidP="00EC02D0">
      <w:pPr>
        <w:pStyle w:val="Bullet"/>
        <w:spacing w:before="60" w:after="60"/>
      </w:pPr>
      <w:r>
        <w:t>D</w:t>
      </w:r>
      <w:r w:rsidR="00996A35">
        <w:t>iscarded pack surveys over-estimate the number of packs that are disposed of outdoors (as these may over-represent packs used by overseas visitors and students with links to countries where cigarettes are much cheaper)</w:t>
      </w:r>
      <w:r>
        <w:t>; and</w:t>
      </w:r>
    </w:p>
    <w:p w:rsidR="00996A35" w:rsidRDefault="003D139E" w:rsidP="00EC02D0">
      <w:pPr>
        <w:pStyle w:val="Bullet"/>
        <w:spacing w:before="60" w:after="60"/>
      </w:pPr>
      <w:r>
        <w:t>T</w:t>
      </w:r>
      <w:r w:rsidR="00533407">
        <w:t>he</w:t>
      </w:r>
      <w:r w:rsidR="00996A35">
        <w:t xml:space="preserve"> reports inadequately adjust for the legal p</w:t>
      </w:r>
      <w:r w:rsidR="008004FC">
        <w:t>ersonal importation of tobacco.</w:t>
      </w:r>
    </w:p>
    <w:p w:rsidR="00996A35" w:rsidRDefault="00A01F2D" w:rsidP="00996A35">
      <w:pPr>
        <w:spacing w:before="60" w:after="60"/>
      </w:pPr>
      <w:r>
        <w:t xml:space="preserve">Public health organisation and expert </w:t>
      </w:r>
      <w:r>
        <w:rPr>
          <w:szCs w:val="20"/>
        </w:rPr>
        <w:t>stakeholder/s</w:t>
      </w:r>
      <w:r w:rsidR="00996A35">
        <w:t xml:space="preserve"> referred to </w:t>
      </w:r>
      <w:r w:rsidR="00905B32" w:rsidRPr="00905B32">
        <w:t>Australian Institute of Health and Welfare (2014) National Drug S</w:t>
      </w:r>
      <w:r w:rsidR="00905B32">
        <w:t>trategy Household Survey 2013,</w:t>
      </w:r>
      <w:r w:rsidR="00905B32" w:rsidRPr="00905B32">
        <w:t xml:space="preserve"> which was cited as showing </w:t>
      </w:r>
      <w:r w:rsidR="00996A35">
        <w:t xml:space="preserve">a decline in the percentage of: smokers who are aware of unbranded illicit ‘chop-chop’ tobacco; who have ever </w:t>
      </w:r>
      <w:r w:rsidR="00905B32">
        <w:t xml:space="preserve">smoked it; who currently use it. They also noted </w:t>
      </w:r>
      <w:r w:rsidR="00996A35">
        <w:t xml:space="preserve">that interceptions of tobacco by the Australian Customs and Border Protection Service have remained constant since </w:t>
      </w:r>
      <w:r w:rsidR="00996A35" w:rsidRPr="00006ED5">
        <w:t xml:space="preserve">the </w:t>
      </w:r>
      <w:r w:rsidR="00905B32">
        <w:t>introduct</w:t>
      </w:r>
      <w:r w:rsidR="008004FC">
        <w:t>ion of plain packaging.</w:t>
      </w:r>
    </w:p>
    <w:p w:rsidR="004661A4" w:rsidRDefault="004661A4" w:rsidP="004661A4">
      <w:pPr>
        <w:pStyle w:val="Heading2"/>
      </w:pPr>
      <w:bookmarkStart w:id="145" w:name="_Toc444007957"/>
      <w:r>
        <w:t>3.2 G</w:t>
      </w:r>
      <w:r w:rsidRPr="004661A4">
        <w:t>eneral views and beliefs</w:t>
      </w:r>
      <w:bookmarkEnd w:id="145"/>
    </w:p>
    <w:p w:rsidR="00996A35" w:rsidRPr="008F6A7C" w:rsidRDefault="00996A35" w:rsidP="00996A35">
      <w:r>
        <w:t>A number of consumers, non-health re</w:t>
      </w:r>
      <w:r w:rsidR="00A01F2D">
        <w:t xml:space="preserve">lated NGO </w:t>
      </w:r>
      <w:r w:rsidR="00A01F2D">
        <w:rPr>
          <w:szCs w:val="20"/>
        </w:rPr>
        <w:t>stakeholder/s</w:t>
      </w:r>
      <w:r>
        <w:t xml:space="preserve"> and stakeholders from the ‘other and unspecified’ categories who responded to the call for submission took the </w:t>
      </w:r>
      <w:r>
        <w:lastRenderedPageBreak/>
        <w:t>opportunity to express views that did not fall neatly under any one question. A summary of the themes that emerge from an analysis of these types of comments is presented below:</w:t>
      </w:r>
    </w:p>
    <w:p w:rsidR="00996A35" w:rsidRPr="004661A4" w:rsidRDefault="00996A35" w:rsidP="00EC02D0">
      <w:pPr>
        <w:pStyle w:val="Bullet"/>
      </w:pPr>
      <w:r w:rsidRPr="004661A4">
        <w:t>Views against any form of government intervention in matters relating to the personal choices of individuals</w:t>
      </w:r>
      <w:r w:rsidR="003D139E">
        <w:t>;</w:t>
      </w:r>
    </w:p>
    <w:p w:rsidR="00996A35" w:rsidRPr="004661A4" w:rsidRDefault="00996A35" w:rsidP="00EC02D0">
      <w:pPr>
        <w:pStyle w:val="Bullet"/>
      </w:pPr>
      <w:r w:rsidRPr="004661A4">
        <w:t>Government intervention in private decisions is a threat to democracy and is the beginning of a slippery slope of government control of personal choices</w:t>
      </w:r>
      <w:r w:rsidR="003D139E">
        <w:t>;</w:t>
      </w:r>
    </w:p>
    <w:p w:rsidR="00996A35" w:rsidRPr="004661A4" w:rsidRDefault="00996A35" w:rsidP="00EC02D0">
      <w:pPr>
        <w:pStyle w:val="Bullet"/>
      </w:pPr>
      <w:r w:rsidRPr="004661A4">
        <w:t>Views that  because tobacco is a legal substance that tobacco control is an infringement of peoples’ rights and freedom of choice</w:t>
      </w:r>
      <w:r w:rsidR="003D139E">
        <w:t>;</w:t>
      </w:r>
    </w:p>
    <w:p w:rsidR="00996A35" w:rsidRPr="004661A4" w:rsidRDefault="00996A35" w:rsidP="00EC02D0">
      <w:pPr>
        <w:pStyle w:val="Bullet"/>
      </w:pPr>
      <w:r w:rsidRPr="004661A4">
        <w:t xml:space="preserve">Beliefs that some or all </w:t>
      </w:r>
      <w:r>
        <w:t>tobacco control measures are an</w:t>
      </w:r>
      <w:r w:rsidRPr="004661A4">
        <w:t xml:space="preserve"> excuse to raise </w:t>
      </w:r>
      <w:r>
        <w:t xml:space="preserve">the </w:t>
      </w:r>
      <w:r w:rsidRPr="004661A4">
        <w:t>taxes placed on smokers</w:t>
      </w:r>
      <w:r w:rsidR="003D139E">
        <w:t>;</w:t>
      </w:r>
    </w:p>
    <w:p w:rsidR="00996A35" w:rsidRPr="004661A4" w:rsidRDefault="00996A35" w:rsidP="00EC02D0">
      <w:pPr>
        <w:pStyle w:val="Bullet"/>
      </w:pPr>
      <w:r w:rsidRPr="004661A4">
        <w:t>Beliefs that smokers</w:t>
      </w:r>
      <w:r>
        <w:t>,</w:t>
      </w:r>
      <w:r w:rsidRPr="004661A4">
        <w:t xml:space="preserve"> more than others</w:t>
      </w:r>
      <w:r>
        <w:t>,</w:t>
      </w:r>
      <w:r w:rsidRPr="004661A4">
        <w:t xml:space="preserve"> are targeted by government when</w:t>
      </w:r>
      <w:r>
        <w:t xml:space="preserve">, in fact, </w:t>
      </w:r>
      <w:r w:rsidRPr="004661A4">
        <w:t xml:space="preserve"> there are other lifestyle choices that mean people will end up in hospital with large costs to the public purse (e.g. sports and drinking)</w:t>
      </w:r>
      <w:r w:rsidR="003D139E">
        <w:t>;</w:t>
      </w:r>
    </w:p>
    <w:p w:rsidR="00996A35" w:rsidRPr="004661A4" w:rsidRDefault="00996A35" w:rsidP="00EC02D0">
      <w:pPr>
        <w:pStyle w:val="Bullet"/>
      </w:pPr>
      <w:r w:rsidRPr="004661A4">
        <w:t>Beliefs that smokers and tobacco products are more targeted than others (e.g. food labels are known to be misleading but there appears to be little action on those)</w:t>
      </w:r>
      <w:r w:rsidR="003D139E">
        <w:t>;</w:t>
      </w:r>
      <w:r w:rsidRPr="004661A4">
        <w:t xml:space="preserve"> </w:t>
      </w:r>
    </w:p>
    <w:p w:rsidR="00996A35" w:rsidRPr="004661A4" w:rsidRDefault="00996A35" w:rsidP="00EC02D0">
      <w:pPr>
        <w:pStyle w:val="Bullet"/>
      </w:pPr>
      <w:r w:rsidRPr="004661A4">
        <w:t>Beliefs that if tobacco smoking is as bad as the amount and type of regulation appears to make it seem</w:t>
      </w:r>
      <w:r w:rsidR="007F5177">
        <w:t>,</w:t>
      </w:r>
      <w:r w:rsidRPr="004661A4">
        <w:t xml:space="preserve"> then it should be illegal and that therefore the only conclusion to reach is that government doesn’t make it illegal as they want to continue to collect the revenue from it</w:t>
      </w:r>
      <w:r w:rsidR="003D139E">
        <w:t>;</w:t>
      </w:r>
    </w:p>
    <w:p w:rsidR="00996A35" w:rsidRPr="004661A4" w:rsidRDefault="00996A35" w:rsidP="00EC02D0">
      <w:pPr>
        <w:pStyle w:val="Bullet"/>
      </w:pPr>
      <w:r w:rsidRPr="004661A4">
        <w:t>Beliefs that while people are still taking up smoking they are now (in addition) choosing illegal drugs as it costs the same. Further to this a view that if one was a drug addict due to illegal drugs one would be offered Methadone for free, the high cost of quitting s</w:t>
      </w:r>
      <w:r w:rsidR="003D139E">
        <w:t>moking leads some to not bother;</w:t>
      </w:r>
    </w:p>
    <w:p w:rsidR="00996A35" w:rsidRPr="004661A4" w:rsidRDefault="00996A35" w:rsidP="00EC02D0">
      <w:pPr>
        <w:pStyle w:val="Bullet"/>
      </w:pPr>
      <w:r w:rsidRPr="004661A4">
        <w:t>Beliefs that the current raft of tobacco control strategies has led to significant stigmatisation of smokers which is felt to be unfair</w:t>
      </w:r>
      <w:r w:rsidR="003D139E">
        <w:t>; and</w:t>
      </w:r>
    </w:p>
    <w:p w:rsidR="00DD34BC" w:rsidRDefault="00996A35" w:rsidP="003B77BD">
      <w:pPr>
        <w:pStyle w:val="Bullet"/>
        <w:spacing w:after="6000"/>
        <w:ind w:left="357" w:hanging="357"/>
      </w:pPr>
      <w:r w:rsidRPr="004661A4">
        <w:t>Views that there are more important public health priorities such as road traffic</w:t>
      </w:r>
      <w:r>
        <w:t xml:space="preserve"> accidents</w:t>
      </w:r>
      <w:r w:rsidRPr="004661A4">
        <w:t xml:space="preserve">, </w:t>
      </w:r>
      <w:r>
        <w:t xml:space="preserve">the impact of </w:t>
      </w:r>
      <w:r w:rsidRPr="004661A4">
        <w:t xml:space="preserve">fast food </w:t>
      </w:r>
      <w:r>
        <w:t xml:space="preserve">on health status </w:t>
      </w:r>
      <w:r w:rsidRPr="004661A4">
        <w:t>and alcohol related harms which should be addressed before tobacco related harms.</w:t>
      </w:r>
    </w:p>
    <w:p w:rsidR="00CB756C" w:rsidRPr="00FE5953" w:rsidRDefault="00CB756C" w:rsidP="00CB756C">
      <w:pPr>
        <w:pStyle w:val="Title"/>
        <w:jc w:val="left"/>
      </w:pPr>
      <w:r w:rsidRPr="00FE5953">
        <w:rPr>
          <w:noProof/>
          <w:lang w:eastAsia="en-AU"/>
        </w:rPr>
        <w:lastRenderedPageBreak/>
        <w:drawing>
          <wp:anchor distT="0" distB="0" distL="114300" distR="114300" simplePos="0" relativeHeight="251659264" behindDoc="1" locked="0" layoutInCell="1" allowOverlap="1" wp14:anchorId="10673447" wp14:editId="624D4036">
            <wp:simplePos x="0" y="0"/>
            <wp:positionH relativeFrom="column">
              <wp:posOffset>-1247775</wp:posOffset>
            </wp:positionH>
            <wp:positionV relativeFrom="paragraph">
              <wp:posOffset>-954405</wp:posOffset>
            </wp:positionV>
            <wp:extent cx="8029575" cy="3562350"/>
            <wp:effectExtent l="0" t="0" r="9525" b="0"/>
            <wp:wrapNone/>
            <wp:docPr id="1" name="Picture 20" descr="Siggins-Miller_report-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iggins-Miller_report-cove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29575" cy="3562350"/>
                    </a:xfrm>
                    <a:prstGeom prst="rect">
                      <a:avLst/>
                    </a:prstGeom>
                    <a:noFill/>
                  </pic:spPr>
                </pic:pic>
              </a:graphicData>
            </a:graphic>
            <wp14:sizeRelH relativeFrom="page">
              <wp14:pctWidth>0</wp14:pctWidth>
            </wp14:sizeRelH>
            <wp14:sizeRelV relativeFrom="page">
              <wp14:pctHeight>0</wp14:pctHeight>
            </wp14:sizeRelV>
          </wp:anchor>
        </w:drawing>
      </w:r>
      <w:r w:rsidRPr="00FE5953">
        <w:t>Consultancy services to inform the development of a Post Implementation Review of the tobacco plain packaging measure</w:t>
      </w:r>
    </w:p>
    <w:p w:rsidR="00CB756C" w:rsidRPr="00CB756C" w:rsidRDefault="00CB756C" w:rsidP="00CB756C">
      <w:pPr>
        <w:pStyle w:val="Heading1"/>
        <w:rPr>
          <w:color w:val="C00000"/>
        </w:rPr>
      </w:pPr>
      <w:bookmarkStart w:id="146" w:name="_Toc442951445"/>
      <w:bookmarkStart w:id="147" w:name="_Toc444007958"/>
      <w:r w:rsidRPr="00CB756C">
        <w:rPr>
          <w:color w:val="C00000"/>
        </w:rPr>
        <w:t>Final Report Appendix 1</w:t>
      </w:r>
      <w:bookmarkEnd w:id="146"/>
      <w:bookmarkEnd w:id="147"/>
    </w:p>
    <w:p w:rsidR="00CB756C" w:rsidRPr="00CB756C" w:rsidRDefault="00CB756C" w:rsidP="0018586D">
      <w:pPr>
        <w:pStyle w:val="Subtitle"/>
        <w:numPr>
          <w:ilvl w:val="0"/>
          <w:numId w:val="14"/>
        </w:numPr>
        <w:tabs>
          <w:tab w:val="clear" w:pos="357"/>
        </w:tabs>
        <w:spacing w:before="0" w:after="0"/>
        <w:rPr>
          <w:rStyle w:val="IntenseEmphasis"/>
          <w:sz w:val="24"/>
          <w:szCs w:val="24"/>
        </w:rPr>
      </w:pPr>
      <w:r w:rsidRPr="00CB756C">
        <w:rPr>
          <w:rStyle w:val="IntenseEmphasis"/>
          <w:sz w:val="24"/>
          <w:szCs w:val="24"/>
        </w:rPr>
        <w:t>Organisations and Government Departments/Agencies invited directly to participate in the consultation process</w:t>
      </w:r>
    </w:p>
    <w:p w:rsidR="00CB756C" w:rsidRPr="00CB756C" w:rsidRDefault="00CB756C" w:rsidP="0018586D">
      <w:pPr>
        <w:pStyle w:val="Subtitle"/>
        <w:numPr>
          <w:ilvl w:val="0"/>
          <w:numId w:val="14"/>
        </w:numPr>
        <w:tabs>
          <w:tab w:val="clear" w:pos="357"/>
        </w:tabs>
        <w:spacing w:before="0" w:after="0"/>
        <w:rPr>
          <w:rStyle w:val="IntenseEmphasis"/>
          <w:sz w:val="24"/>
          <w:szCs w:val="24"/>
        </w:rPr>
      </w:pPr>
      <w:r w:rsidRPr="00CB756C">
        <w:rPr>
          <w:rStyle w:val="IntenseEmphasis"/>
          <w:sz w:val="24"/>
          <w:szCs w:val="24"/>
        </w:rPr>
        <w:t>Demographics of respondents who identified as consumers</w:t>
      </w:r>
    </w:p>
    <w:p w:rsidR="00CB756C" w:rsidRPr="0066670F" w:rsidRDefault="00CB756C" w:rsidP="00CB756C">
      <w:pPr>
        <w:pStyle w:val="Subtitle"/>
        <w:spacing w:before="600"/>
      </w:pPr>
      <w:r w:rsidRPr="0066670F">
        <w:t>September, 2015</w:t>
      </w:r>
    </w:p>
    <w:p w:rsidR="00CB756C" w:rsidRPr="008D2A38" w:rsidRDefault="004D09FB" w:rsidP="003B77BD">
      <w:pPr>
        <w:tabs>
          <w:tab w:val="clear" w:pos="357"/>
        </w:tabs>
        <w:spacing w:before="0" w:after="0"/>
      </w:pPr>
      <w:r w:rsidRPr="008D2A38">
        <w:t xml:space="preserve"> </w:t>
      </w:r>
    </w:p>
    <w:p w:rsidR="00CB756C" w:rsidRPr="008D2A38" w:rsidRDefault="00CB756C" w:rsidP="00CB756C">
      <w:pPr>
        <w:sectPr w:rsidR="00CB756C" w:rsidRPr="008D2A38" w:rsidSect="00906B44">
          <w:footerReference w:type="default" r:id="rId17"/>
          <w:footerReference w:type="first" r:id="rId18"/>
          <w:pgSz w:w="11906" w:h="16838"/>
          <w:pgMar w:top="1440" w:right="1440" w:bottom="1440" w:left="1440" w:header="708" w:footer="708" w:gutter="0"/>
          <w:pgNumType w:start="1"/>
          <w:cols w:space="708"/>
          <w:titlePg/>
          <w:docGrid w:linePitch="360"/>
        </w:sectPr>
      </w:pPr>
    </w:p>
    <w:p w:rsidR="00CB756C" w:rsidRPr="00187337" w:rsidRDefault="00CB756C" w:rsidP="00CB756C">
      <w:pPr>
        <w:pStyle w:val="Heading2"/>
        <w:rPr>
          <w:sz w:val="24"/>
        </w:rPr>
      </w:pPr>
      <w:bookmarkStart w:id="148" w:name="_Toc442951447"/>
      <w:bookmarkStart w:id="149" w:name="_Toc443486875"/>
      <w:bookmarkStart w:id="150" w:name="_Toc444007959"/>
      <w:r w:rsidRPr="00187337">
        <w:rPr>
          <w:sz w:val="24"/>
        </w:rPr>
        <w:lastRenderedPageBreak/>
        <w:t>Appendix 1.A): Organisations and Government Department</w:t>
      </w:r>
      <w:r>
        <w:rPr>
          <w:sz w:val="24"/>
        </w:rPr>
        <w:t>s/Agencies</w:t>
      </w:r>
      <w:r w:rsidRPr="00187337">
        <w:rPr>
          <w:sz w:val="24"/>
        </w:rPr>
        <w:t xml:space="preserve"> invited</w:t>
      </w:r>
      <w:r>
        <w:rPr>
          <w:sz w:val="24"/>
        </w:rPr>
        <w:t xml:space="preserve"> directly</w:t>
      </w:r>
      <w:r w:rsidRPr="00187337">
        <w:rPr>
          <w:sz w:val="24"/>
        </w:rPr>
        <w:t xml:space="preserve"> to participate</w:t>
      </w:r>
      <w:r>
        <w:rPr>
          <w:sz w:val="24"/>
        </w:rPr>
        <w:t xml:space="preserve"> </w:t>
      </w:r>
      <w:r w:rsidRPr="00187337">
        <w:rPr>
          <w:sz w:val="24"/>
        </w:rPr>
        <w:t xml:space="preserve">in </w:t>
      </w:r>
      <w:r>
        <w:rPr>
          <w:sz w:val="24"/>
        </w:rPr>
        <w:t xml:space="preserve">the </w:t>
      </w:r>
      <w:r w:rsidRPr="00187337">
        <w:rPr>
          <w:sz w:val="24"/>
        </w:rPr>
        <w:t>consultation</w:t>
      </w:r>
      <w:r>
        <w:rPr>
          <w:sz w:val="24"/>
        </w:rPr>
        <w:t xml:space="preserve"> process</w:t>
      </w:r>
      <w:r w:rsidRPr="00187337">
        <w:rPr>
          <w:sz w:val="24"/>
        </w:rPr>
        <w:t xml:space="preserve"> from February 2015 to March 2015</w:t>
      </w:r>
      <w:bookmarkEnd w:id="148"/>
      <w:bookmarkEnd w:id="149"/>
      <w:bookmarkEnd w:id="150"/>
    </w:p>
    <w:p w:rsidR="00CB756C" w:rsidRPr="00FE5953" w:rsidRDefault="00CB756C" w:rsidP="00CB756C">
      <w:pPr>
        <w:rPr>
          <w:rStyle w:val="Emphasis"/>
        </w:rPr>
      </w:pPr>
      <w:r w:rsidRPr="00FE5953">
        <w:rPr>
          <w:rStyle w:val="Emphasis"/>
        </w:rPr>
        <w:t xml:space="preserve">Table 1.A Organisations and Government Departments/Agencies </w:t>
      </w:r>
    </w:p>
    <w:tbl>
      <w:tblPr>
        <w:tblW w:w="94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able 1.A lists the organisations and Government Departments and/or Agencies who were invited to participate in the consultation process.  Read across for Stakeholders, those invited to participate in broad consultation process (yes or no) and those invited to participate in the costing study (yes or no). "/>
      </w:tblPr>
      <w:tblGrid>
        <w:gridCol w:w="3304"/>
        <w:gridCol w:w="3098"/>
        <w:gridCol w:w="3023"/>
      </w:tblGrid>
      <w:tr w:rsidR="00CB756C" w:rsidRPr="00187337" w:rsidTr="009E5945">
        <w:trPr>
          <w:trHeight w:val="527"/>
          <w:tblHeader/>
          <w:jc w:val="center"/>
        </w:trPr>
        <w:tc>
          <w:tcPr>
            <w:tcW w:w="3304" w:type="dxa"/>
            <w:shd w:val="clear" w:color="auto" w:fill="9CC2E5"/>
          </w:tcPr>
          <w:p w:rsidR="00CB756C" w:rsidRPr="00326305" w:rsidRDefault="00CB756C" w:rsidP="009E5945">
            <w:pPr>
              <w:spacing w:before="40" w:after="40"/>
              <w:jc w:val="center"/>
              <w:rPr>
                <w:rFonts w:cs="Times New Roman"/>
                <w:b/>
                <w:szCs w:val="20"/>
              </w:rPr>
            </w:pPr>
            <w:r w:rsidRPr="00326305">
              <w:rPr>
                <w:rFonts w:cs="Times New Roman"/>
                <w:b/>
                <w:szCs w:val="20"/>
              </w:rPr>
              <w:t>Stakeholders</w:t>
            </w:r>
          </w:p>
        </w:tc>
        <w:tc>
          <w:tcPr>
            <w:tcW w:w="3098" w:type="dxa"/>
            <w:shd w:val="clear" w:color="auto" w:fill="9CC2E5"/>
          </w:tcPr>
          <w:p w:rsidR="00CB756C" w:rsidRPr="00326305" w:rsidRDefault="00CB756C" w:rsidP="009E5945">
            <w:pPr>
              <w:spacing w:before="40" w:after="40"/>
              <w:jc w:val="center"/>
              <w:rPr>
                <w:rFonts w:cs="Times New Roman"/>
                <w:b/>
                <w:szCs w:val="20"/>
              </w:rPr>
            </w:pPr>
            <w:r w:rsidRPr="00326305">
              <w:rPr>
                <w:rFonts w:cs="Times New Roman"/>
                <w:b/>
                <w:szCs w:val="20"/>
              </w:rPr>
              <w:t>Invited to Participate in broad consultation process</w:t>
            </w:r>
          </w:p>
        </w:tc>
        <w:tc>
          <w:tcPr>
            <w:tcW w:w="3023" w:type="dxa"/>
            <w:shd w:val="clear" w:color="auto" w:fill="9CC2E5"/>
          </w:tcPr>
          <w:p w:rsidR="00CB756C" w:rsidRPr="00326305" w:rsidRDefault="00CB756C" w:rsidP="009E5945">
            <w:pPr>
              <w:spacing w:before="40" w:after="40"/>
              <w:jc w:val="center"/>
              <w:rPr>
                <w:rFonts w:cs="Times New Roman"/>
                <w:b/>
                <w:szCs w:val="20"/>
              </w:rPr>
            </w:pPr>
            <w:r w:rsidRPr="00326305">
              <w:rPr>
                <w:rFonts w:cs="Times New Roman"/>
                <w:b/>
                <w:szCs w:val="20"/>
              </w:rPr>
              <w:t>Invited to Participate in costing study</w:t>
            </w:r>
          </w:p>
        </w:tc>
      </w:tr>
      <w:tr w:rsidR="00CB756C" w:rsidRPr="00187337" w:rsidTr="009E5945">
        <w:trPr>
          <w:trHeight w:val="285"/>
          <w:jc w:val="center"/>
        </w:trPr>
        <w:tc>
          <w:tcPr>
            <w:tcW w:w="9425" w:type="dxa"/>
            <w:gridSpan w:val="3"/>
            <w:shd w:val="clear" w:color="auto" w:fill="DEEAF6"/>
          </w:tcPr>
          <w:p w:rsidR="00CB756C" w:rsidRPr="00326305" w:rsidRDefault="00CB756C" w:rsidP="009E5945">
            <w:pPr>
              <w:spacing w:before="40" w:after="40"/>
              <w:rPr>
                <w:rFonts w:cs="Times New Roman"/>
                <w:b/>
                <w:i/>
                <w:sz w:val="18"/>
                <w:szCs w:val="18"/>
              </w:rPr>
            </w:pPr>
            <w:r w:rsidRPr="00326305">
              <w:rPr>
                <w:rFonts w:cs="Times New Roman"/>
                <w:b/>
                <w:i/>
                <w:sz w:val="18"/>
                <w:szCs w:val="18"/>
              </w:rPr>
              <w:t>Tobacco companies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British American Tobacco Australia</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46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Imperial Tobacco</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rPr>
                <w:rFonts w:cs="Times New Roman"/>
                <w:sz w:val="18"/>
                <w:szCs w:val="18"/>
              </w:rPr>
            </w:pPr>
            <w:r w:rsidRPr="00326305">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Philip Morris Limited</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Japan Tobacco International</w:t>
            </w:r>
          </w:p>
        </w:tc>
        <w:tc>
          <w:tcPr>
            <w:tcW w:w="3098" w:type="dxa"/>
          </w:tcPr>
          <w:p w:rsidR="00CB756C" w:rsidRPr="00326305" w:rsidRDefault="00CB756C" w:rsidP="009E5945">
            <w:pPr>
              <w:spacing w:before="40" w:after="40"/>
              <w:rPr>
                <w:rFonts w:cs="Times New Roman"/>
                <w:sz w:val="18"/>
                <w:szCs w:val="18"/>
              </w:rPr>
            </w:pP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270"/>
          <w:jc w:val="center"/>
        </w:trPr>
        <w:tc>
          <w:tcPr>
            <w:tcW w:w="9425" w:type="dxa"/>
            <w:gridSpan w:val="3"/>
            <w:shd w:val="clear" w:color="auto" w:fill="DEEAF6"/>
          </w:tcPr>
          <w:p w:rsidR="00CB756C" w:rsidRPr="00326305" w:rsidRDefault="00CB756C" w:rsidP="009E5945">
            <w:pPr>
              <w:spacing w:before="40" w:after="40"/>
              <w:rPr>
                <w:rFonts w:cs="Times New Roman"/>
                <w:b/>
                <w:i/>
                <w:sz w:val="18"/>
                <w:szCs w:val="18"/>
              </w:rPr>
            </w:pPr>
            <w:r w:rsidRPr="00326305">
              <w:rPr>
                <w:rFonts w:cs="Times New Roman"/>
                <w:b/>
                <w:i/>
                <w:sz w:val="18"/>
                <w:szCs w:val="18"/>
              </w:rPr>
              <w:t xml:space="preserve">Tobacco retailers and general retailers </w:t>
            </w:r>
          </w:p>
        </w:tc>
      </w:tr>
      <w:tr w:rsidR="00CB756C" w:rsidRPr="00187337" w:rsidTr="009E5945">
        <w:trPr>
          <w:trHeight w:val="389"/>
          <w:jc w:val="center"/>
        </w:trPr>
        <w:tc>
          <w:tcPr>
            <w:tcW w:w="3304" w:type="dxa"/>
            <w:shd w:val="clear" w:color="auto" w:fill="auto"/>
          </w:tcPr>
          <w:p w:rsidR="00CB756C" w:rsidRPr="00326305" w:rsidRDefault="00CB756C" w:rsidP="009E5945">
            <w:pPr>
              <w:spacing w:before="40" w:after="40"/>
              <w:rPr>
                <w:rFonts w:cs="Times New Roman"/>
                <w:sz w:val="18"/>
                <w:szCs w:val="18"/>
              </w:rPr>
            </w:pPr>
            <w:proofErr w:type="spellStart"/>
            <w:r w:rsidRPr="00326305">
              <w:rPr>
                <w:rFonts w:cs="Times New Roman"/>
                <w:sz w:val="18"/>
                <w:szCs w:val="18"/>
              </w:rPr>
              <w:t>Peregine</w:t>
            </w:r>
            <w:proofErr w:type="spellEnd"/>
            <w:r w:rsidRPr="00326305">
              <w:rPr>
                <w:rFonts w:cs="Times New Roman"/>
                <w:sz w:val="18"/>
                <w:szCs w:val="18"/>
              </w:rPr>
              <w:t xml:space="preserve"> Corporation</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proofErr w:type="spellStart"/>
            <w:r w:rsidRPr="00326305">
              <w:rPr>
                <w:rFonts w:cs="Times New Roman"/>
                <w:sz w:val="18"/>
                <w:szCs w:val="18"/>
              </w:rPr>
              <w:t>Cignall</w:t>
            </w:r>
            <w:proofErr w:type="spellEnd"/>
            <w:r w:rsidRPr="00326305">
              <w:rPr>
                <w:rFonts w:cs="Times New Roman"/>
                <w:sz w:val="18"/>
                <w:szCs w:val="18"/>
              </w:rPr>
              <w:t xml:space="preserve"> Specialist Tobacconists</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rPr>
                <w:rFonts w:cs="Times New Roman"/>
                <w:sz w:val="18"/>
                <w:szCs w:val="18"/>
              </w:rPr>
            </w:pPr>
            <w:r w:rsidRPr="00326305">
              <w:rPr>
                <w:rFonts w:cs="Times New Roman"/>
                <w:sz w:val="18"/>
                <w:szCs w:val="18"/>
              </w:rPr>
              <w:t>Yes</w:t>
            </w:r>
          </w:p>
        </w:tc>
      </w:tr>
      <w:tr w:rsidR="00CB756C" w:rsidRPr="00187337" w:rsidTr="009E5945">
        <w:trPr>
          <w:trHeight w:val="305"/>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Tobacco Station Group</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King of the Pack</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Woolworths Limited</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 xml:space="preserve">Yes </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46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Metcash</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rPr>
                <w:rFonts w:cs="Times New Roman"/>
                <w:sz w:val="18"/>
                <w:szCs w:val="18"/>
              </w:rPr>
            </w:pPr>
            <w:r w:rsidRPr="00326305">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Coles</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Australian National Retailers Association</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Australian Newsagents’ Federation</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Service Station Association</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rPr>
                <w:rFonts w:cs="Times New Roman"/>
                <w:sz w:val="18"/>
                <w:szCs w:val="18"/>
              </w:rPr>
            </w:pPr>
            <w:r w:rsidRPr="00326305">
              <w:rPr>
                <w:rFonts w:cs="Times New Roman"/>
                <w:sz w:val="18"/>
                <w:szCs w:val="18"/>
              </w:rPr>
              <w:t>Yes</w:t>
            </w:r>
          </w:p>
        </w:tc>
      </w:tr>
      <w:tr w:rsidR="00CB756C" w:rsidRPr="00187337" w:rsidTr="009E5945">
        <w:trPr>
          <w:trHeight w:val="46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Master Grocers Australia</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 xml:space="preserve">Convenience and Mixed Business Association (CAMBA) </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Council of Small Business of Australia (COSBOA)</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 xml:space="preserve">Australasian Association of Convenience Stores (AACS) </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rPr>
                <w:rFonts w:cs="Times New Roman"/>
                <w:sz w:val="18"/>
                <w:szCs w:val="18"/>
              </w:rPr>
            </w:pPr>
            <w:r w:rsidRPr="00326305">
              <w:rPr>
                <w:rFonts w:cs="Times New Roman"/>
                <w:sz w:val="18"/>
                <w:szCs w:val="18"/>
              </w:rPr>
              <w:t>Yes</w:t>
            </w: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National Independent Retailers Association (NIRA)</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270"/>
          <w:jc w:val="center"/>
        </w:trPr>
        <w:tc>
          <w:tcPr>
            <w:tcW w:w="9425" w:type="dxa"/>
            <w:gridSpan w:val="3"/>
            <w:shd w:val="clear" w:color="auto" w:fill="DEEAF6"/>
          </w:tcPr>
          <w:p w:rsidR="00CB756C" w:rsidRPr="00326305" w:rsidRDefault="00CB756C" w:rsidP="009E5945">
            <w:pPr>
              <w:spacing w:before="40" w:after="40"/>
              <w:rPr>
                <w:rFonts w:cs="Times New Roman"/>
                <w:b/>
                <w:i/>
                <w:sz w:val="18"/>
                <w:szCs w:val="18"/>
              </w:rPr>
            </w:pPr>
            <w:r w:rsidRPr="00326305">
              <w:rPr>
                <w:rFonts w:cs="Times New Roman"/>
                <w:b/>
                <w:i/>
                <w:sz w:val="18"/>
                <w:szCs w:val="18"/>
              </w:rPr>
              <w:t>Tobacco wholesales/importers</w:t>
            </w:r>
          </w:p>
        </w:tc>
      </w:tr>
      <w:tr w:rsidR="00CB756C" w:rsidRPr="00187337" w:rsidTr="009E5945">
        <w:trPr>
          <w:trHeight w:val="186"/>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Trojan Trading Co.</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Richland Express</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rPr>
                <w:rFonts w:cs="Times New Roman"/>
                <w:sz w:val="18"/>
                <w:szCs w:val="18"/>
              </w:rPr>
            </w:pPr>
            <w:r w:rsidRPr="00326305">
              <w:rPr>
                <w:rFonts w:cs="Times New Roman"/>
                <w:sz w:val="18"/>
                <w:szCs w:val="18"/>
              </w:rPr>
              <w:t>Yes</w:t>
            </w:r>
          </w:p>
        </w:tc>
      </w:tr>
      <w:tr w:rsidR="00CB756C" w:rsidRPr="00187337" w:rsidTr="009E5945">
        <w:trPr>
          <w:trHeight w:val="467"/>
          <w:jc w:val="center"/>
        </w:trPr>
        <w:tc>
          <w:tcPr>
            <w:tcW w:w="3304" w:type="dxa"/>
            <w:shd w:val="clear" w:color="auto" w:fill="auto"/>
          </w:tcPr>
          <w:p w:rsidR="00CB756C" w:rsidRPr="00326305" w:rsidRDefault="00CB756C" w:rsidP="009E5945">
            <w:pPr>
              <w:spacing w:before="40" w:after="40"/>
              <w:rPr>
                <w:rFonts w:cs="Times New Roman"/>
                <w:sz w:val="18"/>
                <w:szCs w:val="18"/>
              </w:rPr>
            </w:pPr>
            <w:proofErr w:type="spellStart"/>
            <w:r w:rsidRPr="00326305">
              <w:rPr>
                <w:rFonts w:cs="Times New Roman"/>
                <w:sz w:val="18"/>
                <w:szCs w:val="18"/>
              </w:rPr>
              <w:t>Cigarworld</w:t>
            </w:r>
            <w:proofErr w:type="spellEnd"/>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 xml:space="preserve">Scandinavian Tobacco Group </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lastRenderedPageBreak/>
              <w:t>The Pacific Cigar Company (</w:t>
            </w:r>
            <w:proofErr w:type="spellStart"/>
            <w:r w:rsidRPr="00326305">
              <w:rPr>
                <w:rFonts w:cs="Times New Roman"/>
                <w:sz w:val="18"/>
                <w:szCs w:val="18"/>
              </w:rPr>
              <w:t>Aust</w:t>
            </w:r>
            <w:proofErr w:type="spellEnd"/>
            <w:r w:rsidRPr="00326305">
              <w:rPr>
                <w:rFonts w:cs="Times New Roman"/>
                <w:sz w:val="18"/>
                <w:szCs w:val="18"/>
              </w:rPr>
              <w:t>) Pty Ltd</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315"/>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Trojan Trading Company</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rPr>
                <w:rFonts w:cs="Times New Roman"/>
                <w:sz w:val="18"/>
                <w:szCs w:val="18"/>
              </w:rPr>
            </w:pPr>
            <w:r w:rsidRPr="00326305">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Club Czar</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285"/>
          <w:jc w:val="center"/>
        </w:trPr>
        <w:tc>
          <w:tcPr>
            <w:tcW w:w="9425" w:type="dxa"/>
            <w:gridSpan w:val="3"/>
            <w:shd w:val="clear" w:color="auto" w:fill="DEEAF6"/>
          </w:tcPr>
          <w:p w:rsidR="00CB756C" w:rsidRPr="00326305" w:rsidRDefault="00CB756C" w:rsidP="009E5945">
            <w:pPr>
              <w:spacing w:before="40" w:after="40"/>
              <w:rPr>
                <w:rFonts w:cs="Times New Roman"/>
                <w:sz w:val="18"/>
                <w:szCs w:val="18"/>
              </w:rPr>
            </w:pPr>
            <w:r w:rsidRPr="00326305">
              <w:rPr>
                <w:rFonts w:cs="Times New Roman"/>
                <w:b/>
                <w:i/>
                <w:sz w:val="18"/>
                <w:szCs w:val="18"/>
              </w:rPr>
              <w:t>Tobacco Packaging Manufacturer</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Amcor</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rPr>
                <w:rFonts w:cs="Times New Roman"/>
                <w:sz w:val="18"/>
                <w:szCs w:val="18"/>
              </w:rPr>
            </w:pPr>
            <w:r w:rsidRPr="00326305">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ANZPAC</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rPr>
                <w:rFonts w:cs="Times New Roman"/>
              </w:rPr>
            </w:pPr>
            <w:r w:rsidRPr="00326305">
              <w:rPr>
                <w:rFonts w:cs="Times New Roman"/>
                <w:sz w:val="18"/>
                <w:szCs w:val="18"/>
              </w:rPr>
              <w:t>Yes</w:t>
            </w:r>
          </w:p>
        </w:tc>
      </w:tr>
      <w:tr w:rsidR="00CB756C" w:rsidRPr="00187337" w:rsidTr="009E5945">
        <w:trPr>
          <w:trHeight w:val="270"/>
          <w:jc w:val="center"/>
        </w:trPr>
        <w:tc>
          <w:tcPr>
            <w:tcW w:w="9425" w:type="dxa"/>
            <w:gridSpan w:val="3"/>
            <w:shd w:val="clear" w:color="auto" w:fill="DEEAF6"/>
          </w:tcPr>
          <w:p w:rsidR="00CB756C" w:rsidRPr="00326305" w:rsidRDefault="00CB756C" w:rsidP="009E5945">
            <w:pPr>
              <w:spacing w:before="40" w:after="40"/>
              <w:rPr>
                <w:rFonts w:cs="Times New Roman"/>
                <w:b/>
                <w:i/>
                <w:sz w:val="18"/>
                <w:szCs w:val="18"/>
              </w:rPr>
            </w:pPr>
            <w:r w:rsidRPr="00326305">
              <w:rPr>
                <w:rFonts w:cs="Times New Roman"/>
                <w:b/>
                <w:i/>
                <w:sz w:val="18"/>
                <w:szCs w:val="18"/>
              </w:rPr>
              <w:t>Public health experts and organisations</w:t>
            </w: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Quit SA (Now Cancer Council South Australia)</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Quit Victoria</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6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Cancer Australia</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Cancer Council Northern Territory</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Cancer Council Queensland</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6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Cancer Council Victoria</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Cancer Council Western Australia</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Cancer Council Australian Capital Territory</w:t>
            </w:r>
          </w:p>
        </w:tc>
        <w:tc>
          <w:tcPr>
            <w:tcW w:w="3098" w:type="dxa"/>
          </w:tcPr>
          <w:p w:rsidR="00CB756C" w:rsidRPr="00326305" w:rsidRDefault="00CB756C" w:rsidP="009E5945">
            <w:pPr>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The  Australian Association of Smoking Cessation Professionals</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Quit Tasmania</w:t>
            </w:r>
          </w:p>
        </w:tc>
        <w:tc>
          <w:tcPr>
            <w:tcW w:w="3098" w:type="dxa"/>
          </w:tcPr>
          <w:p w:rsidR="00CB756C" w:rsidRPr="00326305" w:rsidRDefault="00CB756C" w:rsidP="009E5945">
            <w:pPr>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Canberra Action on Smoking and Health</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Clinical Oncology Society of Australia</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National Health &amp; Medical Health Research</w:t>
            </w:r>
          </w:p>
        </w:tc>
        <w:tc>
          <w:tcPr>
            <w:tcW w:w="3098" w:type="dxa"/>
          </w:tcPr>
          <w:p w:rsidR="00CB756C" w:rsidRPr="00326305" w:rsidRDefault="00CB756C" w:rsidP="009E5945">
            <w:pPr>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Australian Health Promotion Association</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National Stroke Foundation</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National Asthma Council</w:t>
            </w:r>
          </w:p>
        </w:tc>
        <w:tc>
          <w:tcPr>
            <w:tcW w:w="3098" w:type="dxa"/>
          </w:tcPr>
          <w:p w:rsidR="00CB756C" w:rsidRPr="00326305" w:rsidRDefault="00CB756C" w:rsidP="009E5945">
            <w:pPr>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National Aboriginal Community Controlled Health Organisation</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6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Non Smokers Movement Australia</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Consumer Health Forum Australia</w:t>
            </w:r>
          </w:p>
        </w:tc>
        <w:tc>
          <w:tcPr>
            <w:tcW w:w="3098" w:type="dxa"/>
          </w:tcPr>
          <w:p w:rsidR="00CB756C" w:rsidRPr="00326305" w:rsidRDefault="00CB756C" w:rsidP="009E5945">
            <w:pPr>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6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Mental Health Council Australia</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lastRenderedPageBreak/>
              <w:t>Public Health Association of Australia</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National Heart Foundation Australia</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Australian Health Promotion Association</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McCabe Centre for Law and Cancer</w:t>
            </w:r>
          </w:p>
        </w:tc>
        <w:tc>
          <w:tcPr>
            <w:tcW w:w="3098" w:type="dxa"/>
          </w:tcPr>
          <w:p w:rsidR="00CB756C" w:rsidRPr="00326305" w:rsidRDefault="00CB756C" w:rsidP="009E5945">
            <w:pPr>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The Royal Australasian College of Surgeons (RACS)</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The Royal Australasian College of General Practitioners (RACGP)</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The Royal Australasian College of Physicians (RACP)</w:t>
            </w:r>
          </w:p>
        </w:tc>
        <w:tc>
          <w:tcPr>
            <w:tcW w:w="3098" w:type="dxa"/>
          </w:tcPr>
          <w:p w:rsidR="00CB756C" w:rsidRPr="00326305" w:rsidRDefault="00CB756C" w:rsidP="009E5945">
            <w:pPr>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316"/>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Australian Medical Association</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316"/>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The Pharmacy Guild Australia</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316"/>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Pharmaceutical Society of Australia</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693"/>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Expert affiliated with Wellbeing and Preventative Chronic Disease Division Menzies</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Expert affiliated with Curtin University</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693"/>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Expert  1 affiliated with UNSW School of Public Health and Community Medicine</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Expert 2 affiliated with UNSW School of Public Health and Community Medicine</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Expert affiliated with University of Sydney</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285"/>
          <w:jc w:val="center"/>
        </w:trPr>
        <w:tc>
          <w:tcPr>
            <w:tcW w:w="9425" w:type="dxa"/>
            <w:gridSpan w:val="3"/>
            <w:shd w:val="clear" w:color="auto" w:fill="DEEAF6"/>
          </w:tcPr>
          <w:p w:rsidR="00CB756C" w:rsidRPr="00326305" w:rsidRDefault="00CB756C" w:rsidP="009E5945">
            <w:pPr>
              <w:spacing w:before="40" w:after="40"/>
              <w:rPr>
                <w:rFonts w:cs="Times New Roman"/>
                <w:b/>
                <w:i/>
                <w:sz w:val="18"/>
                <w:szCs w:val="18"/>
              </w:rPr>
            </w:pPr>
            <w:r w:rsidRPr="00326305">
              <w:rPr>
                <w:rFonts w:cs="Times New Roman"/>
                <w:b/>
                <w:i/>
                <w:sz w:val="18"/>
                <w:szCs w:val="18"/>
              </w:rPr>
              <w:t>Non-Government Organisations (NGOs)</w:t>
            </w:r>
          </w:p>
        </w:tc>
      </w:tr>
      <w:tr w:rsidR="00CB756C" w:rsidRPr="00187337" w:rsidTr="009E5945">
        <w:trPr>
          <w:trHeight w:val="46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Can-Speak</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Cancer Voices Australia</w:t>
            </w:r>
          </w:p>
        </w:tc>
        <w:tc>
          <w:tcPr>
            <w:tcW w:w="3098" w:type="dxa"/>
          </w:tcPr>
          <w:p w:rsidR="00CB756C" w:rsidRPr="00326305" w:rsidRDefault="00CB756C" w:rsidP="009E5945">
            <w:pPr>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46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National Rural Health Alliance</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316"/>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Lung Foundation Australia</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326305" w:rsidRDefault="00CB756C" w:rsidP="009E5945">
            <w:pPr>
              <w:spacing w:before="40" w:after="40"/>
              <w:rPr>
                <w:rFonts w:cs="Times New Roman"/>
                <w:sz w:val="18"/>
                <w:szCs w:val="18"/>
              </w:rPr>
            </w:pPr>
          </w:p>
        </w:tc>
      </w:tr>
      <w:tr w:rsidR="00CB756C" w:rsidRPr="00187337" w:rsidTr="009E5945">
        <w:trPr>
          <w:trHeight w:val="285"/>
          <w:jc w:val="center"/>
        </w:trPr>
        <w:tc>
          <w:tcPr>
            <w:tcW w:w="9425" w:type="dxa"/>
            <w:gridSpan w:val="3"/>
            <w:shd w:val="clear" w:color="auto" w:fill="DEEAF6"/>
          </w:tcPr>
          <w:p w:rsidR="00CB756C" w:rsidRPr="00326305" w:rsidRDefault="00CB756C" w:rsidP="009E5945">
            <w:pPr>
              <w:spacing w:before="40" w:after="40"/>
              <w:rPr>
                <w:rFonts w:cs="Times New Roman"/>
                <w:b/>
                <w:i/>
                <w:sz w:val="18"/>
                <w:szCs w:val="18"/>
              </w:rPr>
            </w:pPr>
            <w:r w:rsidRPr="00326305">
              <w:rPr>
                <w:rFonts w:cs="Times New Roman"/>
                <w:b/>
                <w:i/>
                <w:sz w:val="18"/>
                <w:szCs w:val="18"/>
              </w:rPr>
              <w:t>Government Departments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Western Australia Health</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Northern Territory Department of Health and Families</w:t>
            </w:r>
          </w:p>
        </w:tc>
        <w:tc>
          <w:tcPr>
            <w:tcW w:w="3098" w:type="dxa"/>
          </w:tcPr>
          <w:p w:rsidR="00CB756C" w:rsidRPr="00326305" w:rsidRDefault="00CB756C" w:rsidP="009E5945">
            <w:pPr>
              <w:rPr>
                <w:rFonts w:cs="Times New Roman"/>
                <w:sz w:val="18"/>
                <w:szCs w:val="18"/>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South Australia Health</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6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Australian Capital Territory Health</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New South Wales Ministry of Health</w:t>
            </w:r>
          </w:p>
        </w:tc>
        <w:tc>
          <w:tcPr>
            <w:tcW w:w="3098" w:type="dxa"/>
          </w:tcPr>
          <w:p w:rsidR="00CB756C" w:rsidRPr="00326305" w:rsidRDefault="00CB756C" w:rsidP="009E5945">
            <w:pPr>
              <w:rPr>
                <w:rFonts w:cs="Times New Roman"/>
                <w:sz w:val="18"/>
                <w:szCs w:val="18"/>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Cancer Institute NSW</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6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 xml:space="preserve">Department of Health Victoria </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lastRenderedPageBreak/>
              <w:t>Queensland Health</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285"/>
          <w:jc w:val="center"/>
        </w:trPr>
        <w:tc>
          <w:tcPr>
            <w:tcW w:w="9425" w:type="dxa"/>
            <w:gridSpan w:val="3"/>
            <w:shd w:val="clear" w:color="auto" w:fill="DEEAF6"/>
          </w:tcPr>
          <w:p w:rsidR="00CB756C" w:rsidRPr="00326305" w:rsidRDefault="00CB756C" w:rsidP="009E5945">
            <w:pPr>
              <w:spacing w:before="40" w:after="40"/>
              <w:rPr>
                <w:rFonts w:cs="Times New Roman"/>
              </w:rPr>
            </w:pPr>
            <w:r w:rsidRPr="00326305">
              <w:rPr>
                <w:rFonts w:cs="Times New Roman"/>
              </w:rPr>
              <w:t>Federal Government Departments and Divisions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Department of Health</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341"/>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The Treasury</w:t>
            </w:r>
          </w:p>
        </w:tc>
        <w:tc>
          <w:tcPr>
            <w:tcW w:w="3098" w:type="dxa"/>
          </w:tcPr>
          <w:p w:rsidR="00CB756C" w:rsidRPr="00326305" w:rsidRDefault="00CB756C" w:rsidP="009E5945">
            <w:pPr>
              <w:rPr>
                <w:rFonts w:cs="Times New Roman"/>
                <w:sz w:val="18"/>
                <w:szCs w:val="18"/>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Attorney General’s Department</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Department of Industry- National Measurement Institute</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Department of Industry- IP Australia</w:t>
            </w:r>
          </w:p>
        </w:tc>
        <w:tc>
          <w:tcPr>
            <w:tcW w:w="3098" w:type="dxa"/>
          </w:tcPr>
          <w:p w:rsidR="00CB756C" w:rsidRPr="00326305" w:rsidRDefault="00CB756C" w:rsidP="009E5945">
            <w:pPr>
              <w:rPr>
                <w:rFonts w:cs="Times New Roman"/>
                <w:sz w:val="18"/>
                <w:szCs w:val="18"/>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7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Department of Foreign Affairs and Trade</w:t>
            </w:r>
          </w:p>
        </w:tc>
        <w:tc>
          <w:tcPr>
            <w:tcW w:w="3098" w:type="dxa"/>
          </w:tcPr>
          <w:p w:rsidR="00CB756C" w:rsidRPr="00326305" w:rsidRDefault="00CB756C" w:rsidP="009E5945">
            <w:pPr>
              <w:rPr>
                <w:rFonts w:cs="Times New Roman"/>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Department of Health- Indigenous Health Program</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Department of Health- Pharmaceutical Benefits Division</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Australian Competition and Consumer Commission</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Australian Customs and Border Protection Services</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Department of Finance</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97"/>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Department of Prime Minister and Cabinet</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Australian Institute of Health and Welfare</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Australian Tax Office</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r w:rsidR="00CB756C" w:rsidRPr="00187337" w:rsidTr="009E5945">
        <w:trPr>
          <w:trHeight w:val="482"/>
          <w:jc w:val="center"/>
        </w:trPr>
        <w:tc>
          <w:tcPr>
            <w:tcW w:w="3304" w:type="dxa"/>
            <w:shd w:val="clear" w:color="auto" w:fill="auto"/>
          </w:tcPr>
          <w:p w:rsidR="00CB756C" w:rsidRPr="00326305" w:rsidRDefault="00CB756C" w:rsidP="009E5945">
            <w:pPr>
              <w:spacing w:before="40" w:after="40"/>
              <w:rPr>
                <w:rFonts w:cs="Times New Roman"/>
                <w:sz w:val="18"/>
                <w:szCs w:val="18"/>
              </w:rPr>
            </w:pPr>
            <w:r w:rsidRPr="00326305">
              <w:rPr>
                <w:rFonts w:cs="Times New Roman"/>
                <w:sz w:val="18"/>
                <w:szCs w:val="18"/>
              </w:rPr>
              <w:t>Tackling Indigenous Smoking</w:t>
            </w:r>
          </w:p>
        </w:tc>
        <w:tc>
          <w:tcPr>
            <w:tcW w:w="3098" w:type="dxa"/>
          </w:tcPr>
          <w:p w:rsidR="00CB756C" w:rsidRPr="00326305" w:rsidRDefault="00CB756C" w:rsidP="009E5945">
            <w:pPr>
              <w:spacing w:before="40" w:after="40"/>
              <w:rPr>
                <w:rFonts w:cs="Times New Roman"/>
                <w:sz w:val="18"/>
                <w:szCs w:val="18"/>
              </w:rPr>
            </w:pPr>
            <w:r w:rsidRPr="00326305">
              <w:rPr>
                <w:rFonts w:cs="Times New Roman"/>
                <w:sz w:val="18"/>
                <w:szCs w:val="18"/>
              </w:rPr>
              <w:t>Yes</w:t>
            </w:r>
          </w:p>
        </w:tc>
        <w:tc>
          <w:tcPr>
            <w:tcW w:w="3023" w:type="dxa"/>
          </w:tcPr>
          <w:p w:rsidR="00CB756C" w:rsidRPr="00143B3C" w:rsidRDefault="00CB756C" w:rsidP="009E5945">
            <w:pPr>
              <w:spacing w:before="40" w:after="40"/>
              <w:rPr>
                <w:rFonts w:cs="Times New Roman"/>
                <w:sz w:val="18"/>
                <w:szCs w:val="18"/>
              </w:rPr>
            </w:pPr>
            <w:r w:rsidRPr="00143B3C">
              <w:rPr>
                <w:rFonts w:cs="Times New Roman"/>
                <w:sz w:val="18"/>
                <w:szCs w:val="18"/>
              </w:rPr>
              <w:t>Yes</w:t>
            </w:r>
          </w:p>
        </w:tc>
      </w:tr>
    </w:tbl>
    <w:p w:rsidR="00CB756C" w:rsidRPr="00187337" w:rsidRDefault="00CB756C" w:rsidP="00CB756C">
      <w:pPr>
        <w:pStyle w:val="Heading2"/>
        <w:sectPr w:rsidR="00CB756C" w:rsidRPr="00187337" w:rsidSect="00CA5171">
          <w:footerReference w:type="first" r:id="rId19"/>
          <w:pgSz w:w="11907" w:h="16840" w:code="9"/>
          <w:pgMar w:top="1440" w:right="1440" w:bottom="1440" w:left="1440" w:header="720" w:footer="720" w:gutter="0"/>
          <w:cols w:space="720"/>
          <w:titlePg/>
          <w:docGrid w:linePitch="360"/>
        </w:sectPr>
      </w:pPr>
    </w:p>
    <w:p w:rsidR="00CB756C" w:rsidRPr="009C3EA6" w:rsidRDefault="00CB756C" w:rsidP="00CB756C">
      <w:pPr>
        <w:pStyle w:val="Heading2"/>
      </w:pPr>
      <w:bookmarkStart w:id="151" w:name="_Toc442951448"/>
      <w:bookmarkStart w:id="152" w:name="_Toc443486876"/>
      <w:bookmarkStart w:id="153" w:name="_Toc444007960"/>
      <w:r w:rsidRPr="009C3EA6">
        <w:rPr>
          <w:sz w:val="24"/>
        </w:rPr>
        <w:lastRenderedPageBreak/>
        <w:t>Appendix 1.</w:t>
      </w:r>
      <w:r>
        <w:rPr>
          <w:sz w:val="24"/>
        </w:rPr>
        <w:t>B</w:t>
      </w:r>
      <w:r w:rsidRPr="009C3EA6">
        <w:rPr>
          <w:sz w:val="24"/>
        </w:rPr>
        <w:t xml:space="preserve">): </w:t>
      </w:r>
      <w:r w:rsidRPr="00BE63F0">
        <w:rPr>
          <w:sz w:val="24"/>
        </w:rPr>
        <w:t>Demographics of respondents who identified as consumer</w:t>
      </w:r>
      <w:r>
        <w:rPr>
          <w:sz w:val="24"/>
        </w:rPr>
        <w:t>s</w:t>
      </w:r>
      <w:bookmarkEnd w:id="151"/>
      <w:bookmarkEnd w:id="152"/>
      <w:bookmarkEnd w:id="153"/>
    </w:p>
    <w:p w:rsidR="00CB756C" w:rsidRDefault="00CB756C" w:rsidP="00CB756C">
      <w:pPr>
        <w:rPr>
          <w:rStyle w:val="Emphasis"/>
        </w:rPr>
        <w:sectPr w:rsidR="00CB756C" w:rsidSect="009E5945">
          <w:headerReference w:type="even" r:id="rId20"/>
          <w:headerReference w:type="default" r:id="rId21"/>
          <w:footerReference w:type="default" r:id="rId22"/>
          <w:headerReference w:type="first" r:id="rId23"/>
          <w:pgSz w:w="11906" w:h="16838"/>
          <w:pgMar w:top="1440" w:right="1440" w:bottom="1440" w:left="1440" w:header="708" w:footer="708" w:gutter="0"/>
          <w:cols w:space="708"/>
          <w:titlePg/>
          <w:docGrid w:linePitch="360"/>
        </w:sectPr>
      </w:pPr>
      <w:bookmarkStart w:id="154" w:name="_Toc428970565"/>
      <w:bookmarkStart w:id="155" w:name="_Toc428971321"/>
      <w:bookmarkStart w:id="156" w:name="_Toc419897472"/>
      <w:bookmarkStart w:id="157" w:name="_Toc422307137"/>
      <w:bookmarkStart w:id="158" w:name="_Toc426036263"/>
      <w:bookmarkStart w:id="159" w:name="_Toc426119158"/>
      <w:bookmarkStart w:id="160" w:name="_Toc426119205"/>
      <w:bookmarkStart w:id="161" w:name="_Toc428970034"/>
      <w:r w:rsidRPr="00FE5953">
        <w:rPr>
          <w:rStyle w:val="Emphasis"/>
        </w:rPr>
        <w:t>Table 1.B Consumer smoking status and whether they have smoked in the pa</w:t>
      </w:r>
      <w:bookmarkEnd w:id="154"/>
      <w:bookmarkEnd w:id="155"/>
      <w:bookmarkEnd w:id="156"/>
      <w:bookmarkEnd w:id="157"/>
      <w:bookmarkEnd w:id="158"/>
      <w:bookmarkEnd w:id="159"/>
      <w:bookmarkEnd w:id="160"/>
      <w:bookmarkEnd w:id="161"/>
      <w:r>
        <w:rPr>
          <w:rStyle w:val="Emphasis"/>
        </w:rPr>
        <w:t>st</w:t>
      </w:r>
    </w:p>
    <w:p w:rsidR="00CB756C" w:rsidRDefault="00CB756C" w:rsidP="00CB756C">
      <w:pPr>
        <w:spacing w:after="0"/>
        <w:rPr>
          <w:rStyle w:val="Emphasis"/>
        </w:rPr>
        <w:sectPr w:rsidR="00CB756C" w:rsidSect="009E5945">
          <w:type w:val="continuous"/>
          <w:pgSz w:w="11906" w:h="16838"/>
          <w:pgMar w:top="1440" w:right="1440" w:bottom="1440" w:left="1440" w:header="708" w:footer="708" w:gutter="0"/>
          <w:cols w:space="708"/>
          <w:titlePg/>
          <w:docGrid w:linePitch="360"/>
        </w:sectPr>
      </w:pPr>
    </w:p>
    <w:p w:rsidR="00CB756C" w:rsidRPr="0066670F" w:rsidRDefault="00CB756C" w:rsidP="00CB756C">
      <w:pPr>
        <w:spacing w:after="0"/>
        <w:rPr>
          <w:rStyle w:val="Emphasis"/>
        </w:rPr>
      </w:pPr>
      <w:r>
        <w:rPr>
          <w:rStyle w:val="Emphasis"/>
        </w:rPr>
        <w:lastRenderedPageBreak/>
        <w:t>(</w:t>
      </w:r>
      <w:proofErr w:type="spellStart"/>
      <w:r>
        <w:rPr>
          <w:rStyle w:val="Emphasis"/>
        </w:rPr>
        <w:t>i</w:t>
      </w:r>
      <w:proofErr w:type="spellEnd"/>
      <w:r>
        <w:rPr>
          <w:rStyle w:val="Emphasis"/>
        </w:rPr>
        <w:t xml:space="preserve">) </w:t>
      </w:r>
      <w:r w:rsidRPr="0066670F">
        <w:rPr>
          <w:rStyle w:val="Emphasis"/>
        </w:rPr>
        <w:t>Are you currently a Smoker?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able 1.B(i) lists the demographics of respondents to the question 'Are you currently a Smoker?'. Read across for response (categories include yes, no, no response), frequency of response, and the percentage of the total respondents providing each response. Read across the final row for the total figures."/>
      </w:tblPr>
      <w:tblGrid>
        <w:gridCol w:w="1384"/>
        <w:gridCol w:w="1276"/>
        <w:gridCol w:w="1559"/>
      </w:tblGrid>
      <w:tr w:rsidR="00CB756C" w:rsidRPr="009C3EA6" w:rsidTr="009E5945">
        <w:trPr>
          <w:tblHeader/>
        </w:trPr>
        <w:tc>
          <w:tcPr>
            <w:tcW w:w="1384" w:type="dxa"/>
            <w:shd w:val="clear" w:color="auto" w:fill="DEEAF6"/>
          </w:tcPr>
          <w:p w:rsidR="00CB756C" w:rsidRPr="00374B30" w:rsidRDefault="00CB756C" w:rsidP="009E5945">
            <w:pPr>
              <w:spacing w:before="40" w:after="40"/>
              <w:jc w:val="center"/>
              <w:rPr>
                <w:rStyle w:val="SubtleEmphasis"/>
              </w:rPr>
            </w:pPr>
            <w:r w:rsidRPr="00374B30">
              <w:rPr>
                <w:rStyle w:val="SubtleEmphasis"/>
              </w:rPr>
              <w:t>Response</w:t>
            </w:r>
          </w:p>
        </w:tc>
        <w:tc>
          <w:tcPr>
            <w:tcW w:w="1276" w:type="dxa"/>
            <w:shd w:val="clear" w:color="auto" w:fill="DEEAF6"/>
          </w:tcPr>
          <w:p w:rsidR="00CB756C" w:rsidRPr="00374B30" w:rsidRDefault="00CB756C" w:rsidP="009E5945">
            <w:pPr>
              <w:spacing w:before="40" w:after="40"/>
              <w:jc w:val="center"/>
              <w:rPr>
                <w:rStyle w:val="SubtleEmphasis"/>
              </w:rPr>
            </w:pPr>
            <w:r w:rsidRPr="00374B30">
              <w:rPr>
                <w:rStyle w:val="SubtleEmphasis"/>
              </w:rPr>
              <w:t>Frequency</w:t>
            </w:r>
          </w:p>
        </w:tc>
        <w:tc>
          <w:tcPr>
            <w:tcW w:w="1559" w:type="dxa"/>
            <w:shd w:val="clear" w:color="auto" w:fill="DEEAF6"/>
          </w:tcPr>
          <w:p w:rsidR="00CB756C" w:rsidRPr="00374B30" w:rsidRDefault="00CB756C" w:rsidP="009E5945">
            <w:pPr>
              <w:spacing w:before="40" w:after="40"/>
              <w:jc w:val="center"/>
              <w:rPr>
                <w:rStyle w:val="SubtleEmphasis"/>
              </w:rPr>
            </w:pPr>
            <w:r w:rsidRPr="00374B30">
              <w:rPr>
                <w:rStyle w:val="SubtleEmphasis"/>
              </w:rPr>
              <w:t>Percentage</w:t>
            </w:r>
          </w:p>
        </w:tc>
      </w:tr>
      <w:tr w:rsidR="00CB756C" w:rsidRPr="009C3EA6" w:rsidTr="009E5945">
        <w:tc>
          <w:tcPr>
            <w:tcW w:w="1384" w:type="dxa"/>
            <w:shd w:val="clear" w:color="auto" w:fill="auto"/>
          </w:tcPr>
          <w:p w:rsidR="00CB756C" w:rsidRPr="009C3EA6" w:rsidRDefault="00CB756C" w:rsidP="009E5945">
            <w:pPr>
              <w:spacing w:before="40" w:after="40"/>
              <w:rPr>
                <w:rFonts w:cs="Times New Roman"/>
                <w:sz w:val="18"/>
                <w:szCs w:val="18"/>
              </w:rPr>
            </w:pPr>
            <w:r w:rsidRPr="009C3EA6">
              <w:rPr>
                <w:rFonts w:cs="Times New Roman"/>
                <w:sz w:val="18"/>
                <w:szCs w:val="18"/>
              </w:rPr>
              <w:t xml:space="preserve">Yes </w:t>
            </w:r>
          </w:p>
        </w:tc>
        <w:tc>
          <w:tcPr>
            <w:tcW w:w="1276" w:type="dxa"/>
            <w:shd w:val="clear" w:color="auto" w:fill="auto"/>
          </w:tcPr>
          <w:p w:rsidR="00CB756C" w:rsidRPr="0072090A" w:rsidRDefault="00CB756C" w:rsidP="009E5945">
            <w:pPr>
              <w:spacing w:before="40" w:after="40"/>
              <w:jc w:val="center"/>
              <w:rPr>
                <w:rFonts w:cs="Times New Roman"/>
                <w:sz w:val="18"/>
                <w:szCs w:val="18"/>
              </w:rPr>
            </w:pPr>
            <w:r w:rsidRPr="0072090A">
              <w:rPr>
                <w:rFonts w:cs="Times New Roman"/>
                <w:sz w:val="18"/>
                <w:szCs w:val="18"/>
              </w:rPr>
              <w:t>366</w:t>
            </w:r>
          </w:p>
        </w:tc>
        <w:tc>
          <w:tcPr>
            <w:tcW w:w="1559" w:type="dxa"/>
            <w:shd w:val="clear" w:color="auto" w:fill="auto"/>
          </w:tcPr>
          <w:p w:rsidR="00CB756C" w:rsidRPr="0072090A" w:rsidRDefault="00CB756C" w:rsidP="009E5945">
            <w:pPr>
              <w:spacing w:before="40" w:after="40"/>
              <w:jc w:val="center"/>
              <w:rPr>
                <w:rFonts w:cs="Times New Roman"/>
                <w:sz w:val="18"/>
                <w:szCs w:val="18"/>
              </w:rPr>
            </w:pPr>
            <w:r w:rsidRPr="0072090A">
              <w:rPr>
                <w:rFonts w:cs="Times New Roman"/>
                <w:sz w:val="18"/>
                <w:szCs w:val="18"/>
              </w:rPr>
              <w:t>88.83%</w:t>
            </w:r>
          </w:p>
        </w:tc>
      </w:tr>
      <w:tr w:rsidR="00CB756C" w:rsidRPr="009C3EA6" w:rsidTr="009E5945">
        <w:tc>
          <w:tcPr>
            <w:tcW w:w="1384" w:type="dxa"/>
            <w:shd w:val="clear" w:color="auto" w:fill="auto"/>
          </w:tcPr>
          <w:p w:rsidR="00CB756C" w:rsidRPr="009C3EA6" w:rsidRDefault="00CB756C" w:rsidP="009E5945">
            <w:pPr>
              <w:spacing w:before="40" w:after="40"/>
              <w:rPr>
                <w:rFonts w:cs="Times New Roman"/>
                <w:sz w:val="18"/>
                <w:szCs w:val="18"/>
              </w:rPr>
            </w:pPr>
            <w:r w:rsidRPr="009C3EA6">
              <w:rPr>
                <w:rFonts w:cs="Times New Roman"/>
                <w:sz w:val="18"/>
                <w:szCs w:val="18"/>
              </w:rPr>
              <w:t>No</w:t>
            </w:r>
          </w:p>
        </w:tc>
        <w:tc>
          <w:tcPr>
            <w:tcW w:w="1276" w:type="dxa"/>
            <w:shd w:val="clear" w:color="auto" w:fill="auto"/>
          </w:tcPr>
          <w:p w:rsidR="00CB756C" w:rsidRPr="0072090A" w:rsidRDefault="00CB756C" w:rsidP="009E5945">
            <w:pPr>
              <w:spacing w:before="40" w:after="40"/>
              <w:jc w:val="center"/>
              <w:rPr>
                <w:rFonts w:cs="Times New Roman"/>
                <w:sz w:val="18"/>
                <w:szCs w:val="18"/>
              </w:rPr>
            </w:pPr>
            <w:r w:rsidRPr="0072090A">
              <w:rPr>
                <w:rFonts w:cs="Times New Roman"/>
                <w:sz w:val="18"/>
                <w:szCs w:val="18"/>
              </w:rPr>
              <w:t>31</w:t>
            </w:r>
          </w:p>
        </w:tc>
        <w:tc>
          <w:tcPr>
            <w:tcW w:w="1559" w:type="dxa"/>
            <w:shd w:val="clear" w:color="auto" w:fill="auto"/>
          </w:tcPr>
          <w:p w:rsidR="00CB756C" w:rsidRPr="0072090A" w:rsidRDefault="00CB756C" w:rsidP="009E5945">
            <w:pPr>
              <w:spacing w:before="40" w:after="40"/>
              <w:jc w:val="center"/>
              <w:rPr>
                <w:rFonts w:cs="Times New Roman"/>
                <w:sz w:val="18"/>
                <w:szCs w:val="18"/>
              </w:rPr>
            </w:pPr>
            <w:r w:rsidRPr="0072090A">
              <w:rPr>
                <w:rFonts w:cs="Times New Roman"/>
                <w:sz w:val="18"/>
                <w:szCs w:val="18"/>
              </w:rPr>
              <w:t>7.52%</w:t>
            </w:r>
          </w:p>
        </w:tc>
      </w:tr>
      <w:tr w:rsidR="00CB756C" w:rsidRPr="009C3EA6" w:rsidTr="009E5945">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CB756C" w:rsidRPr="009C3EA6" w:rsidRDefault="00CB756C" w:rsidP="009E5945">
            <w:pPr>
              <w:spacing w:before="40" w:after="40"/>
              <w:rPr>
                <w:rFonts w:cs="Times New Roman"/>
                <w:sz w:val="18"/>
                <w:szCs w:val="18"/>
              </w:rPr>
            </w:pPr>
            <w:r w:rsidRPr="009C3EA6">
              <w:rPr>
                <w:rFonts w:cs="Times New Roman"/>
                <w:sz w:val="18"/>
                <w:szCs w:val="18"/>
              </w:rPr>
              <w:t>No response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B756C" w:rsidRPr="0072090A" w:rsidRDefault="00CB756C" w:rsidP="009E5945">
            <w:pPr>
              <w:spacing w:before="40" w:after="40"/>
              <w:jc w:val="center"/>
              <w:rPr>
                <w:rFonts w:cs="Times New Roman"/>
                <w:sz w:val="18"/>
                <w:szCs w:val="18"/>
              </w:rPr>
            </w:pPr>
            <w:r w:rsidRPr="0072090A">
              <w:rPr>
                <w:rFonts w:cs="Times New Roman"/>
                <w:sz w:val="18"/>
                <w:szCs w:val="18"/>
              </w:rPr>
              <w:t>15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B756C" w:rsidRPr="0072090A" w:rsidRDefault="00CB756C" w:rsidP="009E5945">
            <w:pPr>
              <w:spacing w:before="40" w:after="40"/>
              <w:jc w:val="center"/>
              <w:rPr>
                <w:rFonts w:cs="Times New Roman"/>
                <w:sz w:val="18"/>
                <w:szCs w:val="18"/>
              </w:rPr>
            </w:pPr>
            <w:r w:rsidRPr="0072090A">
              <w:rPr>
                <w:rFonts w:cs="Times New Roman"/>
                <w:sz w:val="18"/>
                <w:szCs w:val="18"/>
              </w:rPr>
              <w:t>3.64%</w:t>
            </w:r>
          </w:p>
        </w:tc>
      </w:tr>
      <w:tr w:rsidR="00CB756C" w:rsidRPr="009C3EA6" w:rsidTr="009E5945">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CB756C" w:rsidRPr="009C3EA6" w:rsidRDefault="00CB756C" w:rsidP="009E5945">
            <w:pPr>
              <w:spacing w:before="40" w:after="40"/>
              <w:rPr>
                <w:rFonts w:cs="Times New Roman"/>
                <w:sz w:val="18"/>
                <w:szCs w:val="18"/>
              </w:rPr>
            </w:pPr>
            <w:r w:rsidRPr="009C3EA6">
              <w:rPr>
                <w:rFonts w:cs="Times New Roman"/>
                <w:sz w:val="18"/>
                <w:szCs w:val="18"/>
              </w:rPr>
              <w:t xml:space="preserve">Total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56C" w:rsidRPr="009C3EA6" w:rsidRDefault="00CB756C" w:rsidP="009E5945">
            <w:pPr>
              <w:spacing w:before="40" w:after="40"/>
              <w:jc w:val="center"/>
              <w:rPr>
                <w:rFonts w:cs="Times New Roman"/>
                <w:sz w:val="18"/>
                <w:szCs w:val="18"/>
              </w:rPr>
            </w:pPr>
            <w:r>
              <w:rPr>
                <w:rFonts w:cs="Times New Roman"/>
                <w:sz w:val="18"/>
                <w:szCs w:val="18"/>
              </w:rPr>
              <w:t>412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56C" w:rsidRPr="009C3EA6" w:rsidRDefault="00CB756C" w:rsidP="009E5945">
            <w:pPr>
              <w:spacing w:before="40" w:after="40"/>
              <w:jc w:val="center"/>
              <w:rPr>
                <w:rFonts w:cs="Times New Roman"/>
                <w:sz w:val="18"/>
                <w:szCs w:val="18"/>
              </w:rPr>
            </w:pPr>
            <w:r w:rsidRPr="009C3EA6">
              <w:rPr>
                <w:rFonts w:cs="Times New Roman"/>
                <w:sz w:val="18"/>
                <w:szCs w:val="18"/>
              </w:rPr>
              <w:t>100%</w:t>
            </w:r>
          </w:p>
        </w:tc>
      </w:tr>
    </w:tbl>
    <w:p w:rsidR="00CB756C" w:rsidRPr="0066670F" w:rsidRDefault="00CB756C" w:rsidP="00CB756C">
      <w:pPr>
        <w:spacing w:after="0"/>
        <w:rPr>
          <w:rStyle w:val="Emphasis"/>
        </w:rPr>
      </w:pPr>
      <w:r>
        <w:rPr>
          <w:rStyle w:val="Emphasis"/>
        </w:rPr>
        <w:lastRenderedPageBreak/>
        <w:t xml:space="preserve">(ii) </w:t>
      </w:r>
      <w:r w:rsidRPr="0066670F">
        <w:rPr>
          <w:rStyle w:val="Emphasis"/>
        </w:rPr>
        <w:t>Have you been a smoker in the past?</w:t>
      </w:r>
    </w:p>
    <w:tbl>
      <w:tblPr>
        <w:tblStyle w:val="TableGrid"/>
        <w:tblW w:w="0" w:type="auto"/>
        <w:tblLook w:val="04A0" w:firstRow="1" w:lastRow="0" w:firstColumn="1" w:lastColumn="0" w:noHBand="0" w:noVBand="1"/>
        <w:tblDescription w:val="Table 1.B(ii) lists the demographics of respondents to the question 'Have you been a smoker in the past?'.  Read across for response (categories include yes, no, no response), frequency of response, and the percentage of the total respondents providing each response. Read across the final row for the total figures."/>
      </w:tblPr>
      <w:tblGrid>
        <w:gridCol w:w="1384"/>
        <w:gridCol w:w="1276"/>
        <w:gridCol w:w="1559"/>
      </w:tblGrid>
      <w:tr w:rsidR="00CB756C" w:rsidTr="009E5945">
        <w:trPr>
          <w:tblHeader/>
        </w:trPr>
        <w:tc>
          <w:tcPr>
            <w:tcW w:w="1384" w:type="dxa"/>
            <w:shd w:val="clear" w:color="auto" w:fill="DBE5F1" w:themeFill="accent1" w:themeFillTint="33"/>
          </w:tcPr>
          <w:p w:rsidR="00CB756C" w:rsidRPr="00374B30" w:rsidRDefault="00CB756C" w:rsidP="009E5945">
            <w:pPr>
              <w:spacing w:before="40" w:after="40"/>
              <w:jc w:val="center"/>
              <w:rPr>
                <w:rStyle w:val="SubtleEmphasis"/>
              </w:rPr>
            </w:pPr>
            <w:r w:rsidRPr="00374B30">
              <w:rPr>
                <w:rStyle w:val="SubtleEmphasis"/>
              </w:rPr>
              <w:t>Response</w:t>
            </w:r>
          </w:p>
        </w:tc>
        <w:tc>
          <w:tcPr>
            <w:tcW w:w="1276" w:type="dxa"/>
            <w:shd w:val="clear" w:color="auto" w:fill="DBE5F1" w:themeFill="accent1" w:themeFillTint="33"/>
          </w:tcPr>
          <w:p w:rsidR="00CB756C" w:rsidRPr="00374B30" w:rsidRDefault="00CB756C" w:rsidP="009E5945">
            <w:pPr>
              <w:spacing w:before="40" w:after="40"/>
              <w:jc w:val="center"/>
              <w:rPr>
                <w:rStyle w:val="SubtleEmphasis"/>
              </w:rPr>
            </w:pPr>
            <w:r w:rsidRPr="00374B30">
              <w:rPr>
                <w:rStyle w:val="SubtleEmphasis"/>
              </w:rPr>
              <w:t>Frequency</w:t>
            </w:r>
          </w:p>
        </w:tc>
        <w:tc>
          <w:tcPr>
            <w:tcW w:w="1559" w:type="dxa"/>
            <w:shd w:val="clear" w:color="auto" w:fill="DBE5F1" w:themeFill="accent1" w:themeFillTint="33"/>
          </w:tcPr>
          <w:p w:rsidR="00CB756C" w:rsidRPr="00374B30" w:rsidRDefault="00CB756C" w:rsidP="009E5945">
            <w:pPr>
              <w:spacing w:before="40" w:after="40"/>
              <w:jc w:val="center"/>
              <w:rPr>
                <w:rStyle w:val="SubtleEmphasis"/>
              </w:rPr>
            </w:pPr>
            <w:r w:rsidRPr="00374B30">
              <w:rPr>
                <w:rStyle w:val="SubtleEmphasis"/>
              </w:rPr>
              <w:t>Percentage</w:t>
            </w:r>
          </w:p>
        </w:tc>
      </w:tr>
      <w:tr w:rsidR="00CB756C" w:rsidTr="009E5945">
        <w:tc>
          <w:tcPr>
            <w:tcW w:w="1384" w:type="dxa"/>
          </w:tcPr>
          <w:p w:rsidR="00CB756C" w:rsidRPr="009C3EA6" w:rsidRDefault="00CB756C" w:rsidP="009E5945">
            <w:pPr>
              <w:spacing w:before="40" w:after="40"/>
              <w:rPr>
                <w:rFonts w:cs="Times New Roman"/>
                <w:sz w:val="18"/>
                <w:szCs w:val="18"/>
              </w:rPr>
            </w:pPr>
            <w:r w:rsidRPr="009C3EA6">
              <w:rPr>
                <w:rFonts w:cs="Times New Roman"/>
                <w:sz w:val="18"/>
                <w:szCs w:val="18"/>
              </w:rPr>
              <w:t xml:space="preserve">Yes </w:t>
            </w:r>
          </w:p>
        </w:tc>
        <w:tc>
          <w:tcPr>
            <w:tcW w:w="1276" w:type="dxa"/>
          </w:tcPr>
          <w:p w:rsidR="00CB756C" w:rsidRPr="0072090A" w:rsidRDefault="00CB756C" w:rsidP="009E5945">
            <w:pPr>
              <w:spacing w:before="40" w:after="40"/>
              <w:jc w:val="center"/>
              <w:rPr>
                <w:rFonts w:cs="Times New Roman"/>
                <w:sz w:val="18"/>
                <w:szCs w:val="18"/>
              </w:rPr>
            </w:pPr>
            <w:r w:rsidRPr="0072090A">
              <w:rPr>
                <w:rFonts w:cs="Times New Roman"/>
                <w:sz w:val="18"/>
                <w:szCs w:val="18"/>
              </w:rPr>
              <w:t>23</w:t>
            </w:r>
          </w:p>
        </w:tc>
        <w:tc>
          <w:tcPr>
            <w:tcW w:w="1559" w:type="dxa"/>
          </w:tcPr>
          <w:p w:rsidR="00CB756C" w:rsidRPr="0072090A" w:rsidRDefault="00CB756C" w:rsidP="009E5945">
            <w:pPr>
              <w:spacing w:before="40" w:after="40"/>
              <w:jc w:val="center"/>
              <w:rPr>
                <w:rFonts w:cs="Times New Roman"/>
                <w:sz w:val="18"/>
                <w:szCs w:val="18"/>
              </w:rPr>
            </w:pPr>
            <w:r w:rsidRPr="0072090A">
              <w:rPr>
                <w:rFonts w:cs="Times New Roman"/>
                <w:sz w:val="18"/>
                <w:szCs w:val="18"/>
              </w:rPr>
              <w:t>5.58%</w:t>
            </w:r>
          </w:p>
        </w:tc>
      </w:tr>
      <w:tr w:rsidR="00CB756C" w:rsidTr="009E5945">
        <w:tc>
          <w:tcPr>
            <w:tcW w:w="1384" w:type="dxa"/>
          </w:tcPr>
          <w:p w:rsidR="00CB756C" w:rsidRPr="009C3EA6" w:rsidRDefault="00CB756C" w:rsidP="009E5945">
            <w:pPr>
              <w:spacing w:before="40" w:after="40"/>
              <w:rPr>
                <w:rFonts w:cs="Times New Roman"/>
                <w:sz w:val="18"/>
                <w:szCs w:val="18"/>
              </w:rPr>
            </w:pPr>
            <w:r w:rsidRPr="009C3EA6">
              <w:rPr>
                <w:rFonts w:cs="Times New Roman"/>
                <w:sz w:val="18"/>
                <w:szCs w:val="18"/>
              </w:rPr>
              <w:t>No</w:t>
            </w:r>
          </w:p>
        </w:tc>
        <w:tc>
          <w:tcPr>
            <w:tcW w:w="1276" w:type="dxa"/>
          </w:tcPr>
          <w:p w:rsidR="00CB756C" w:rsidRPr="0072090A" w:rsidRDefault="00CB756C" w:rsidP="009E5945">
            <w:pPr>
              <w:spacing w:before="40" w:after="40"/>
              <w:jc w:val="center"/>
              <w:rPr>
                <w:rFonts w:cs="Times New Roman"/>
                <w:sz w:val="18"/>
                <w:szCs w:val="18"/>
              </w:rPr>
            </w:pPr>
            <w:r w:rsidRPr="0072090A">
              <w:rPr>
                <w:rFonts w:cs="Times New Roman"/>
                <w:sz w:val="18"/>
                <w:szCs w:val="18"/>
              </w:rPr>
              <w:t>9</w:t>
            </w:r>
          </w:p>
        </w:tc>
        <w:tc>
          <w:tcPr>
            <w:tcW w:w="1559" w:type="dxa"/>
          </w:tcPr>
          <w:p w:rsidR="00CB756C" w:rsidRPr="0072090A" w:rsidRDefault="00CB756C" w:rsidP="009E5945">
            <w:pPr>
              <w:spacing w:before="40" w:after="40"/>
              <w:jc w:val="center"/>
              <w:rPr>
                <w:rFonts w:cs="Times New Roman"/>
                <w:sz w:val="18"/>
                <w:szCs w:val="18"/>
              </w:rPr>
            </w:pPr>
            <w:r w:rsidRPr="0072090A">
              <w:rPr>
                <w:rFonts w:cs="Times New Roman"/>
                <w:sz w:val="18"/>
                <w:szCs w:val="18"/>
              </w:rPr>
              <w:t>2.18%</w:t>
            </w:r>
          </w:p>
        </w:tc>
      </w:tr>
      <w:tr w:rsidR="00CB756C" w:rsidTr="009E5945">
        <w:tc>
          <w:tcPr>
            <w:tcW w:w="1384" w:type="dxa"/>
          </w:tcPr>
          <w:p w:rsidR="00CB756C" w:rsidRPr="009C3EA6" w:rsidRDefault="00CB756C" w:rsidP="009E5945">
            <w:pPr>
              <w:spacing w:before="40" w:after="40"/>
              <w:rPr>
                <w:rFonts w:cs="Times New Roman"/>
                <w:sz w:val="18"/>
                <w:szCs w:val="18"/>
              </w:rPr>
            </w:pPr>
            <w:r w:rsidRPr="009C3EA6">
              <w:rPr>
                <w:rFonts w:cs="Times New Roman"/>
                <w:sz w:val="18"/>
                <w:szCs w:val="18"/>
              </w:rPr>
              <w:t>No response</w:t>
            </w:r>
          </w:p>
        </w:tc>
        <w:tc>
          <w:tcPr>
            <w:tcW w:w="1276" w:type="dxa"/>
          </w:tcPr>
          <w:p w:rsidR="00CB756C" w:rsidRPr="0072090A" w:rsidRDefault="00CB756C" w:rsidP="009E5945">
            <w:pPr>
              <w:spacing w:before="40" w:after="40"/>
              <w:jc w:val="center"/>
              <w:rPr>
                <w:rFonts w:cs="Times New Roman"/>
                <w:sz w:val="18"/>
                <w:szCs w:val="18"/>
              </w:rPr>
            </w:pPr>
            <w:r w:rsidRPr="0072090A">
              <w:rPr>
                <w:rFonts w:cs="Times New Roman"/>
                <w:sz w:val="18"/>
                <w:szCs w:val="18"/>
              </w:rPr>
              <w:t>380</w:t>
            </w:r>
          </w:p>
        </w:tc>
        <w:tc>
          <w:tcPr>
            <w:tcW w:w="1559" w:type="dxa"/>
          </w:tcPr>
          <w:p w:rsidR="00CB756C" w:rsidRPr="0072090A" w:rsidRDefault="00CB756C" w:rsidP="009E5945">
            <w:pPr>
              <w:spacing w:before="40" w:after="40"/>
              <w:jc w:val="center"/>
              <w:rPr>
                <w:rFonts w:cs="Times New Roman"/>
                <w:sz w:val="18"/>
                <w:szCs w:val="18"/>
              </w:rPr>
            </w:pPr>
            <w:r w:rsidRPr="0072090A">
              <w:rPr>
                <w:rFonts w:cs="Times New Roman"/>
                <w:sz w:val="18"/>
                <w:szCs w:val="18"/>
              </w:rPr>
              <w:t>92.23%</w:t>
            </w:r>
          </w:p>
        </w:tc>
      </w:tr>
      <w:tr w:rsidR="00CB756C" w:rsidTr="009E5945">
        <w:tc>
          <w:tcPr>
            <w:tcW w:w="1384" w:type="dxa"/>
          </w:tcPr>
          <w:p w:rsidR="00CB756C" w:rsidRPr="009C3EA6" w:rsidRDefault="00CB756C" w:rsidP="009E5945">
            <w:pPr>
              <w:spacing w:before="40" w:after="40"/>
              <w:rPr>
                <w:rFonts w:cs="Times New Roman"/>
                <w:sz w:val="18"/>
                <w:szCs w:val="18"/>
              </w:rPr>
            </w:pPr>
            <w:r w:rsidRPr="009C3EA6">
              <w:rPr>
                <w:rFonts w:cs="Times New Roman"/>
                <w:sz w:val="18"/>
                <w:szCs w:val="18"/>
              </w:rPr>
              <w:t>Total</w:t>
            </w:r>
          </w:p>
        </w:tc>
        <w:tc>
          <w:tcPr>
            <w:tcW w:w="1276" w:type="dxa"/>
          </w:tcPr>
          <w:p w:rsidR="00CB756C" w:rsidRPr="009C3EA6" w:rsidRDefault="00CB756C" w:rsidP="009E5945">
            <w:pPr>
              <w:spacing w:before="40" w:after="40"/>
              <w:jc w:val="center"/>
              <w:rPr>
                <w:rFonts w:cs="Times New Roman"/>
                <w:sz w:val="18"/>
                <w:szCs w:val="18"/>
              </w:rPr>
            </w:pPr>
            <w:r>
              <w:rPr>
                <w:rFonts w:cs="Times New Roman"/>
                <w:sz w:val="18"/>
                <w:szCs w:val="18"/>
              </w:rPr>
              <w:t>412</w:t>
            </w:r>
          </w:p>
        </w:tc>
        <w:tc>
          <w:tcPr>
            <w:tcW w:w="1559" w:type="dxa"/>
          </w:tcPr>
          <w:p w:rsidR="00CB756C" w:rsidRPr="009C3EA6" w:rsidRDefault="00CB756C" w:rsidP="009E5945">
            <w:pPr>
              <w:spacing w:before="40" w:after="40"/>
              <w:jc w:val="center"/>
              <w:rPr>
                <w:rFonts w:cs="Times New Roman"/>
                <w:sz w:val="18"/>
                <w:szCs w:val="18"/>
              </w:rPr>
            </w:pPr>
            <w:r w:rsidRPr="009C3EA6">
              <w:rPr>
                <w:rFonts w:cs="Times New Roman"/>
                <w:sz w:val="18"/>
                <w:szCs w:val="18"/>
              </w:rPr>
              <w:t>100%</w:t>
            </w:r>
          </w:p>
        </w:tc>
      </w:tr>
    </w:tbl>
    <w:p w:rsidR="00CB756C" w:rsidRDefault="00CB756C" w:rsidP="00CB756C">
      <w:pPr>
        <w:spacing w:after="0"/>
        <w:rPr>
          <w:rStyle w:val="Emphasis"/>
        </w:rPr>
        <w:sectPr w:rsidR="00CB756C" w:rsidSect="009E5945">
          <w:type w:val="continuous"/>
          <w:pgSz w:w="11906" w:h="16838"/>
          <w:pgMar w:top="1440" w:right="1440" w:bottom="1440" w:left="1440" w:header="708" w:footer="708" w:gutter="0"/>
          <w:cols w:num="2" w:space="708"/>
          <w:titlePg/>
          <w:docGrid w:linePitch="360"/>
        </w:sectPr>
      </w:pPr>
    </w:p>
    <w:p w:rsidR="00CB756C" w:rsidRDefault="00CB756C" w:rsidP="00CB756C">
      <w:pPr>
        <w:spacing w:after="0"/>
        <w:rPr>
          <w:rStyle w:val="Emphasis"/>
        </w:rPr>
        <w:sectPr w:rsidR="00CB756C" w:rsidSect="009E5945">
          <w:type w:val="continuous"/>
          <w:pgSz w:w="11906" w:h="16838"/>
          <w:pgMar w:top="1440" w:right="1440" w:bottom="1440" w:left="1440" w:header="708" w:footer="708" w:gutter="0"/>
          <w:cols w:space="708"/>
          <w:titlePg/>
          <w:docGrid w:linePitch="360"/>
        </w:sectPr>
      </w:pPr>
    </w:p>
    <w:p w:rsidR="00CB756C" w:rsidRPr="006B1488" w:rsidRDefault="00CB756C" w:rsidP="00CB756C">
      <w:pPr>
        <w:pStyle w:val="Title"/>
        <w:jc w:val="left"/>
        <w:rPr>
          <w:highlight w:val="yellow"/>
        </w:rPr>
      </w:pPr>
      <w:r>
        <w:rPr>
          <w:noProof/>
          <w:lang w:eastAsia="en-AU"/>
        </w:rPr>
        <w:lastRenderedPageBreak/>
        <w:drawing>
          <wp:anchor distT="0" distB="0" distL="114300" distR="114300" simplePos="0" relativeHeight="251661312" behindDoc="1" locked="0" layoutInCell="1" allowOverlap="1" wp14:anchorId="3AC5AFAF" wp14:editId="4CF1940E">
            <wp:simplePos x="0" y="0"/>
            <wp:positionH relativeFrom="column">
              <wp:posOffset>-1247775</wp:posOffset>
            </wp:positionH>
            <wp:positionV relativeFrom="paragraph">
              <wp:posOffset>-954405</wp:posOffset>
            </wp:positionV>
            <wp:extent cx="8029575" cy="3562350"/>
            <wp:effectExtent l="0" t="0" r="9525" b="0"/>
            <wp:wrapNone/>
            <wp:docPr id="2" name="Picture 20"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iggins-Miller_report-cove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29575" cy="3562350"/>
                    </a:xfrm>
                    <a:prstGeom prst="rect">
                      <a:avLst/>
                    </a:prstGeom>
                    <a:noFill/>
                  </pic:spPr>
                </pic:pic>
              </a:graphicData>
            </a:graphic>
            <wp14:sizeRelH relativeFrom="page">
              <wp14:pctWidth>0</wp14:pctWidth>
            </wp14:sizeRelH>
            <wp14:sizeRelV relativeFrom="page">
              <wp14:pctHeight>0</wp14:pctHeight>
            </wp14:sizeRelV>
          </wp:anchor>
        </w:drawing>
      </w:r>
      <w:r w:rsidRPr="006B1488">
        <w:t>Consultancy services to inform the development of a Post Implementation Review of the tobacco plain packaging measure</w:t>
      </w:r>
    </w:p>
    <w:p w:rsidR="00CB756C" w:rsidRPr="00CB756C" w:rsidRDefault="00CB756C" w:rsidP="00CB756C">
      <w:pPr>
        <w:pStyle w:val="Heading1"/>
        <w:rPr>
          <w:color w:val="C00000"/>
        </w:rPr>
      </w:pPr>
      <w:bookmarkStart w:id="162" w:name="_Toc444007961"/>
      <w:r w:rsidRPr="00CB756C">
        <w:rPr>
          <w:color w:val="C00000"/>
        </w:rPr>
        <w:t xml:space="preserve">Final </w:t>
      </w:r>
      <w:r w:rsidR="00251C8C">
        <w:rPr>
          <w:color w:val="C00000"/>
        </w:rPr>
        <w:t>R</w:t>
      </w:r>
      <w:r w:rsidRPr="00CB756C">
        <w:rPr>
          <w:color w:val="C00000"/>
        </w:rPr>
        <w:t>eport Appendix 2</w:t>
      </w:r>
      <w:bookmarkEnd w:id="162"/>
    </w:p>
    <w:p w:rsidR="009E5945" w:rsidRDefault="00CB756C" w:rsidP="009E5945">
      <w:pPr>
        <w:pStyle w:val="Subtitle"/>
        <w:rPr>
          <w:rStyle w:val="IntenseEmphasis"/>
          <w:sz w:val="24"/>
          <w:szCs w:val="24"/>
        </w:rPr>
      </w:pPr>
      <w:r w:rsidRPr="009E5945">
        <w:rPr>
          <w:rStyle w:val="IntenseEmphasis"/>
          <w:sz w:val="24"/>
          <w:szCs w:val="24"/>
        </w:rPr>
        <w:t>A) List of references and documents provided by stakeholders</w:t>
      </w:r>
    </w:p>
    <w:p w:rsidR="00CB756C" w:rsidRDefault="00CB756C" w:rsidP="009E5945">
      <w:pPr>
        <w:pStyle w:val="Subtitle"/>
      </w:pPr>
      <w:r w:rsidRPr="005E54F2">
        <w:rPr>
          <w:noProof/>
          <w:lang w:eastAsia="en-AU"/>
        </w:rPr>
        <w:drawing>
          <wp:anchor distT="0" distB="0" distL="114300" distR="114300" simplePos="0" relativeHeight="251662336" behindDoc="0" locked="0" layoutInCell="1" allowOverlap="1" wp14:anchorId="6AC9C1DD" wp14:editId="591F20E3">
            <wp:simplePos x="0" y="0"/>
            <wp:positionH relativeFrom="column">
              <wp:posOffset>3962400</wp:posOffset>
            </wp:positionH>
            <wp:positionV relativeFrom="paragraph">
              <wp:posOffset>2818434</wp:posOffset>
            </wp:positionV>
            <wp:extent cx="1914525" cy="584200"/>
            <wp:effectExtent l="0" t="0" r="9525" b="6350"/>
            <wp:wrapNone/>
            <wp:docPr id="7" name="Picture 21" descr="Siggins Mill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escription: SM_Logo"/>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14525" cy="58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54F2">
        <w:t>September, 2015</w:t>
      </w:r>
      <w:r w:rsidRPr="005E54F2">
        <w:br w:type="page"/>
      </w:r>
    </w:p>
    <w:p w:rsidR="00CB756C" w:rsidRDefault="00CB756C" w:rsidP="00CB756C">
      <w:pPr>
        <w:pStyle w:val="Heading1"/>
        <w:framePr w:wrap="auto" w:vAnchor="page" w:hAnchor="page" w:x="1554" w:y="1261"/>
        <w:rPr>
          <w:highlight w:val="yellow"/>
        </w:rPr>
        <w:sectPr w:rsidR="00CB756C" w:rsidSect="00CA5171">
          <w:headerReference w:type="even" r:id="rId25"/>
          <w:headerReference w:type="default" r:id="rId26"/>
          <w:footerReference w:type="even" r:id="rId27"/>
          <w:footerReference w:type="default" r:id="rId28"/>
          <w:headerReference w:type="first" r:id="rId29"/>
          <w:footerReference w:type="first" r:id="rId30"/>
          <w:pgSz w:w="11907" w:h="16840" w:code="9"/>
          <w:pgMar w:top="1440" w:right="1440" w:bottom="1440" w:left="1440" w:header="720" w:footer="720" w:gutter="0"/>
          <w:cols w:space="720"/>
          <w:titlePg/>
          <w:docGrid w:linePitch="360"/>
        </w:sectPr>
      </w:pPr>
    </w:p>
    <w:p w:rsidR="00CB756C" w:rsidRPr="00251C8C" w:rsidRDefault="00CB756C" w:rsidP="00CB756C">
      <w:pPr>
        <w:pStyle w:val="Heading2"/>
        <w:tabs>
          <w:tab w:val="left" w:pos="8520"/>
        </w:tabs>
        <w:rPr>
          <w:i/>
          <w:sz w:val="28"/>
          <w:lang w:eastAsia="en-AU"/>
        </w:rPr>
      </w:pPr>
      <w:bookmarkStart w:id="163" w:name="_Toc443487207"/>
      <w:bookmarkStart w:id="164" w:name="_Toc444007962"/>
      <w:bookmarkStart w:id="165" w:name="_Toc418750874"/>
      <w:r w:rsidRPr="00251C8C">
        <w:rPr>
          <w:sz w:val="28"/>
        </w:rPr>
        <w:lastRenderedPageBreak/>
        <w:t>Appendix 2 A): References</w:t>
      </w:r>
      <w:bookmarkEnd w:id="163"/>
      <w:bookmarkEnd w:id="164"/>
      <w:r w:rsidRPr="003C0ABC">
        <w:rPr>
          <w:rFonts w:ascii="Arial" w:hAnsi="Arial"/>
          <w:sz w:val="20"/>
        </w:rPr>
        <w:fldChar w:fldCharType="begin"/>
      </w:r>
      <w:r w:rsidRPr="00251C8C">
        <w:rPr>
          <w:sz w:val="28"/>
        </w:rPr>
        <w:instrText xml:space="preserve"> TOC \o "1-3" \h \z \u </w:instrText>
      </w:r>
      <w:r w:rsidRPr="003C0ABC">
        <w:rPr>
          <w:rFonts w:ascii="Arial" w:hAnsi="Arial"/>
          <w:sz w:val="20"/>
        </w:rPr>
        <w:fldChar w:fldCharType="separate"/>
      </w:r>
    </w:p>
    <w:p w:rsidR="00CB756C" w:rsidRPr="003C0ABC" w:rsidRDefault="00CB756C" w:rsidP="00CB756C">
      <w:pPr>
        <w:rPr>
          <w:rFonts w:cs="Times New Roman"/>
        </w:rPr>
      </w:pPr>
      <w:r w:rsidRPr="003C0ABC">
        <w:rPr>
          <w:rFonts w:cs="Times New Roman"/>
          <w:b/>
          <w:bCs/>
          <w:noProof/>
        </w:rPr>
        <w:fldChar w:fldCharType="end"/>
      </w:r>
      <w:bookmarkStart w:id="166" w:name="_Toc418753338"/>
      <w:bookmarkStart w:id="167" w:name="_Toc418753412"/>
      <w:bookmarkStart w:id="168" w:name="_Toc419818715"/>
      <w:proofErr w:type="gramStart"/>
      <w:r w:rsidRPr="003C0ABC">
        <w:rPr>
          <w:rFonts w:cs="Times New Roman"/>
        </w:rPr>
        <w:t>Australia 2013, Overview and Trends.</w:t>
      </w:r>
      <w:proofErr w:type="gramEnd"/>
      <w:r w:rsidRPr="003C0ABC">
        <w:rPr>
          <w:rFonts w:cs="Times New Roman"/>
        </w:rPr>
        <w:t xml:space="preserve"> Department of Health, Western Australia</w:t>
      </w:r>
    </w:p>
    <w:p w:rsidR="00CB756C" w:rsidRPr="003C0ABC" w:rsidRDefault="00CB756C" w:rsidP="00CB756C">
      <w:pPr>
        <w:ind w:left="284" w:hanging="284"/>
        <w:rPr>
          <w:rFonts w:cs="Times New Roman"/>
        </w:rPr>
      </w:pPr>
      <w:proofErr w:type="gramStart"/>
      <w:r w:rsidRPr="003C0ABC">
        <w:rPr>
          <w:rFonts w:cs="Times New Roman"/>
        </w:rPr>
        <w:t>Australian Bureau of Statistics (2014).</w:t>
      </w:r>
      <w:proofErr w:type="gramEnd"/>
      <w:r w:rsidRPr="003C0ABC">
        <w:rPr>
          <w:rFonts w:cs="Times New Roman"/>
        </w:rPr>
        <w:t xml:space="preserve"> Australian National Accounts: National Income, Expenditure and Product report, June Quarter 2014.</w:t>
      </w:r>
    </w:p>
    <w:p w:rsidR="00CB756C" w:rsidRPr="003C0ABC" w:rsidRDefault="00CB756C" w:rsidP="00CB756C">
      <w:pPr>
        <w:ind w:left="284" w:hanging="284"/>
        <w:rPr>
          <w:rFonts w:cs="Times New Roman"/>
        </w:rPr>
      </w:pPr>
      <w:proofErr w:type="gramStart"/>
      <w:r w:rsidRPr="003C0ABC">
        <w:rPr>
          <w:rFonts w:cs="Times New Roman"/>
        </w:rPr>
        <w:t>Australian Bureau of Statistics (2014).</w:t>
      </w:r>
      <w:proofErr w:type="gramEnd"/>
      <w:r w:rsidRPr="003C0ABC">
        <w:rPr>
          <w:rFonts w:cs="Times New Roman"/>
        </w:rPr>
        <w:t xml:space="preserve"> Australian National Accounts: National Income, Expenditure and Product, March Quarter 2014. </w:t>
      </w:r>
    </w:p>
    <w:p w:rsidR="00CB756C" w:rsidRPr="003C0ABC" w:rsidRDefault="00CB756C" w:rsidP="00CB756C">
      <w:pPr>
        <w:ind w:left="284" w:hanging="284"/>
        <w:rPr>
          <w:rFonts w:cs="Times New Roman"/>
        </w:rPr>
      </w:pPr>
      <w:proofErr w:type="gramStart"/>
      <w:r w:rsidRPr="003C0ABC">
        <w:rPr>
          <w:rFonts w:cs="Times New Roman"/>
        </w:rPr>
        <w:t>Australian Government Department of Health (2014a).</w:t>
      </w:r>
      <w:proofErr w:type="gramEnd"/>
      <w:r w:rsidRPr="003C0ABC">
        <w:rPr>
          <w:rFonts w:cs="Times New Roman"/>
        </w:rPr>
        <w:t xml:space="preserve"> </w:t>
      </w:r>
      <w:hyperlink r:id="rId31" w:history="1">
        <w:proofErr w:type="gramStart"/>
        <w:r w:rsidRPr="005E54F2">
          <w:rPr>
            <w:rStyle w:val="Hyperlink"/>
            <w:rFonts w:cs="Times New Roman"/>
          </w:rPr>
          <w:t>Tobacco key facts and figures</w:t>
        </w:r>
      </w:hyperlink>
      <w:r w:rsidRPr="003C0ABC">
        <w:rPr>
          <w:rFonts w:cs="Times New Roman"/>
        </w:rPr>
        <w:t>.</w:t>
      </w:r>
      <w:proofErr w:type="gramEnd"/>
      <w:r w:rsidRPr="003C0ABC">
        <w:rPr>
          <w:rFonts w:cs="Times New Roman"/>
        </w:rPr>
        <w:t xml:space="preserve"> </w:t>
      </w:r>
      <w:r>
        <w:rPr>
          <w:rFonts w:cs="Times New Roman"/>
        </w:rPr>
        <w:t>(</w:t>
      </w:r>
      <w:r w:rsidRPr="005E54F2">
        <w:rPr>
          <w:rFonts w:cs="Times New Roman"/>
        </w:rPr>
        <w:t>www.health.gov.au/internet/main/publishing.nsf/Content/tobacco-kff</w:t>
      </w:r>
      <w:r>
        <w:rPr>
          <w:rFonts w:cs="Times New Roman"/>
        </w:rPr>
        <w:t>)</w:t>
      </w:r>
    </w:p>
    <w:p w:rsidR="00CB756C" w:rsidRPr="003C0ABC" w:rsidRDefault="00CB756C" w:rsidP="00CB756C">
      <w:pPr>
        <w:ind w:left="284" w:hanging="284"/>
        <w:rPr>
          <w:rFonts w:cs="Times New Roman"/>
        </w:rPr>
      </w:pPr>
      <w:proofErr w:type="gramStart"/>
      <w:r w:rsidRPr="003C0ABC">
        <w:rPr>
          <w:rFonts w:cs="Times New Roman"/>
        </w:rPr>
        <w:t>Australian Government Department of Health (2014b).</w:t>
      </w:r>
      <w:proofErr w:type="gramEnd"/>
      <w:r w:rsidRPr="003C0ABC">
        <w:rPr>
          <w:rFonts w:cs="Times New Roman"/>
        </w:rPr>
        <w:t xml:space="preserve"> </w:t>
      </w:r>
      <w:hyperlink r:id="rId32" w:history="1">
        <w:proofErr w:type="gramStart"/>
        <w:r w:rsidRPr="005E54F2">
          <w:rPr>
            <w:rStyle w:val="Hyperlink"/>
            <w:rFonts w:cs="Times New Roman"/>
          </w:rPr>
          <w:t>Plain Packaging of Tobacco Products</w:t>
        </w:r>
      </w:hyperlink>
      <w:r w:rsidRPr="003C0ABC">
        <w:rPr>
          <w:rFonts w:cs="Times New Roman"/>
        </w:rPr>
        <w:t>.</w:t>
      </w:r>
      <w:proofErr w:type="gramEnd"/>
      <w:r w:rsidRPr="003C0ABC">
        <w:rPr>
          <w:rFonts w:cs="Times New Roman"/>
        </w:rPr>
        <w:t xml:space="preserve"> </w:t>
      </w:r>
      <w:r>
        <w:rPr>
          <w:rFonts w:cs="Times New Roman"/>
        </w:rPr>
        <w:t>(</w:t>
      </w:r>
      <w:r w:rsidRPr="005E54F2">
        <w:rPr>
          <w:rFonts w:cs="Times New Roman"/>
        </w:rPr>
        <w:t>www.health.gov.au/internet/main/publishing.nsf/Content/ictstpa</w:t>
      </w:r>
      <w:r>
        <w:rPr>
          <w:rFonts w:cs="Times New Roman"/>
        </w:rPr>
        <w:t>)</w:t>
      </w:r>
    </w:p>
    <w:p w:rsidR="00CB756C" w:rsidRPr="003C0ABC" w:rsidRDefault="00CB756C" w:rsidP="00CB756C">
      <w:pPr>
        <w:ind w:left="284" w:hanging="284"/>
        <w:rPr>
          <w:rFonts w:cs="Times New Roman"/>
        </w:rPr>
      </w:pPr>
      <w:proofErr w:type="gramStart"/>
      <w:r w:rsidRPr="003C0ABC">
        <w:rPr>
          <w:rFonts w:cs="Times New Roman"/>
        </w:rPr>
        <w:t>Australian Institute of Health and Welfare (2014).</w:t>
      </w:r>
      <w:proofErr w:type="gramEnd"/>
      <w:r w:rsidRPr="003C0ABC">
        <w:rPr>
          <w:rFonts w:cs="Times New Roman"/>
        </w:rPr>
        <w:t xml:space="preserve"> National Drug Strategy Household Survey detailed report: 2013. </w:t>
      </w:r>
      <w:proofErr w:type="gramStart"/>
      <w:r w:rsidRPr="003C0ABC">
        <w:rPr>
          <w:rFonts w:cs="Times New Roman"/>
        </w:rPr>
        <w:t>Drug statistics series no.28.</w:t>
      </w:r>
      <w:proofErr w:type="gramEnd"/>
      <w:r w:rsidRPr="003C0ABC">
        <w:rPr>
          <w:rFonts w:cs="Times New Roman"/>
        </w:rPr>
        <w:t xml:space="preserve"> Cat. No. </w:t>
      </w:r>
      <w:proofErr w:type="gramStart"/>
      <w:r w:rsidRPr="003C0ABC">
        <w:rPr>
          <w:rFonts w:cs="Times New Roman"/>
        </w:rPr>
        <w:t>PHE 183.</w:t>
      </w:r>
      <w:proofErr w:type="gramEnd"/>
      <w:r w:rsidRPr="003C0ABC">
        <w:rPr>
          <w:rFonts w:cs="Times New Roman"/>
        </w:rPr>
        <w:t xml:space="preserve"> Canberra: AIHW.</w:t>
      </w:r>
    </w:p>
    <w:p w:rsidR="00CB756C" w:rsidRPr="003C0ABC" w:rsidRDefault="00CB756C" w:rsidP="00CB756C">
      <w:pPr>
        <w:ind w:left="284" w:hanging="284"/>
        <w:rPr>
          <w:rFonts w:cs="Times New Roman"/>
        </w:rPr>
      </w:pPr>
      <w:proofErr w:type="gramStart"/>
      <w:r w:rsidRPr="00207A2D">
        <w:rPr>
          <w:rFonts w:cs="Times New Roman"/>
        </w:rPr>
        <w:t>Australian Institute of Health and Welfare 2014.</w:t>
      </w:r>
      <w:proofErr w:type="gramEnd"/>
      <w:r w:rsidRPr="00207A2D">
        <w:rPr>
          <w:rFonts w:cs="Times New Roman"/>
        </w:rPr>
        <w:t xml:space="preserve"> National Drug Strategy Household Survey detailed report: 2013. Drug statistics series no. 28. Cat. </w:t>
      </w:r>
      <w:proofErr w:type="gramStart"/>
      <w:r w:rsidRPr="00207A2D">
        <w:rPr>
          <w:rFonts w:cs="Times New Roman"/>
        </w:rPr>
        <w:t>no</w:t>
      </w:r>
      <w:proofErr w:type="gramEnd"/>
      <w:r w:rsidRPr="00207A2D">
        <w:rPr>
          <w:rFonts w:cs="Times New Roman"/>
        </w:rPr>
        <w:t xml:space="preserve">. </w:t>
      </w:r>
      <w:proofErr w:type="gramStart"/>
      <w:r w:rsidRPr="00207A2D">
        <w:rPr>
          <w:rFonts w:cs="Times New Roman"/>
        </w:rPr>
        <w:t>PHE 183.</w:t>
      </w:r>
      <w:proofErr w:type="gramEnd"/>
      <w:r w:rsidRPr="00207A2D">
        <w:rPr>
          <w:rFonts w:cs="Times New Roman"/>
        </w:rPr>
        <w:t xml:space="preserve"> Canberra: AIHW.</w:t>
      </w:r>
    </w:p>
    <w:p w:rsidR="00CB756C" w:rsidRPr="003C0ABC" w:rsidRDefault="00CB756C" w:rsidP="00CB756C">
      <w:pPr>
        <w:tabs>
          <w:tab w:val="clear" w:pos="357"/>
          <w:tab w:val="left" w:pos="851"/>
        </w:tabs>
        <w:ind w:left="284" w:hanging="284"/>
        <w:rPr>
          <w:rFonts w:cs="Times New Roman"/>
        </w:rPr>
      </w:pPr>
      <w:r w:rsidRPr="003C0ABC">
        <w:rPr>
          <w:rFonts w:cs="Times New Roman"/>
        </w:rPr>
        <w:t xml:space="preserve">Banks E, </w:t>
      </w:r>
      <w:proofErr w:type="spellStart"/>
      <w:r w:rsidRPr="003C0ABC">
        <w:rPr>
          <w:rFonts w:cs="Times New Roman"/>
        </w:rPr>
        <w:t>Joshy</w:t>
      </w:r>
      <w:proofErr w:type="spellEnd"/>
      <w:r w:rsidRPr="003C0ABC">
        <w:rPr>
          <w:rFonts w:cs="Times New Roman"/>
        </w:rPr>
        <w:t xml:space="preserve"> G, Weber M, Liu B, Grenfell R, </w:t>
      </w:r>
      <w:proofErr w:type="spellStart"/>
      <w:r w:rsidRPr="003C0ABC">
        <w:rPr>
          <w:rFonts w:cs="Times New Roman"/>
        </w:rPr>
        <w:t>Beral</w:t>
      </w:r>
      <w:proofErr w:type="spellEnd"/>
      <w:r w:rsidRPr="003C0ABC">
        <w:rPr>
          <w:rFonts w:cs="Times New Roman"/>
        </w:rPr>
        <w:t xml:space="preserve"> V, et al. Tobacco smoking and all-cause mortality in a large Australian cohort study: findings from a mature epidemic with current low smoking prevalence. </w:t>
      </w:r>
      <w:proofErr w:type="gramStart"/>
      <w:r w:rsidRPr="003C0ABC">
        <w:rPr>
          <w:rFonts w:cs="Times New Roman"/>
        </w:rPr>
        <w:t>BMC Medicine 2015; 13(38).</w:t>
      </w:r>
      <w:proofErr w:type="gramEnd"/>
    </w:p>
    <w:p w:rsidR="00CB756C" w:rsidRPr="003C0ABC" w:rsidRDefault="00CB756C" w:rsidP="00CB756C">
      <w:pPr>
        <w:ind w:left="284" w:hanging="284"/>
        <w:rPr>
          <w:rFonts w:cs="Times New Roman"/>
        </w:rPr>
      </w:pPr>
      <w:r w:rsidRPr="003C0ABC">
        <w:rPr>
          <w:rFonts w:cs="Times New Roman"/>
        </w:rPr>
        <w:t xml:space="preserve">Brennan E, Durkin S, </w:t>
      </w:r>
      <w:proofErr w:type="spellStart"/>
      <w:r w:rsidRPr="003C0ABC">
        <w:rPr>
          <w:rFonts w:cs="Times New Roman"/>
        </w:rPr>
        <w:t>Coomber</w:t>
      </w:r>
      <w:proofErr w:type="spellEnd"/>
      <w:r w:rsidRPr="003C0ABC">
        <w:rPr>
          <w:rFonts w:cs="Times New Roman"/>
        </w:rPr>
        <w:t xml:space="preserve"> K, </w:t>
      </w:r>
      <w:proofErr w:type="spellStart"/>
      <w:r w:rsidRPr="003C0ABC">
        <w:rPr>
          <w:rFonts w:cs="Times New Roman"/>
        </w:rPr>
        <w:t>Zacher</w:t>
      </w:r>
      <w:proofErr w:type="spellEnd"/>
      <w:r w:rsidRPr="003C0ABC">
        <w:rPr>
          <w:rFonts w:cs="Times New Roman"/>
        </w:rPr>
        <w:t xml:space="preserve"> M, </w:t>
      </w:r>
      <w:proofErr w:type="spellStart"/>
      <w:r w:rsidRPr="003C0ABC">
        <w:rPr>
          <w:rFonts w:cs="Times New Roman"/>
        </w:rPr>
        <w:t>Scollo</w:t>
      </w:r>
      <w:proofErr w:type="spellEnd"/>
      <w:r w:rsidRPr="003C0ABC">
        <w:rPr>
          <w:rFonts w:cs="Times New Roman"/>
        </w:rPr>
        <w:t xml:space="preserve"> M, Wakefield M. Are quitting-related cognitions and behaviours predicted by proximal responses to plain packaging with larger health warnings? Findings from a national cohort study with Australian adult smokers. Tobacco Control 2015; 24(</w:t>
      </w:r>
      <w:proofErr w:type="spellStart"/>
      <w:r w:rsidRPr="003C0ABC">
        <w:rPr>
          <w:rFonts w:cs="Times New Roman"/>
        </w:rPr>
        <w:t>Suppl</w:t>
      </w:r>
      <w:proofErr w:type="spellEnd"/>
      <w:r w:rsidRPr="003C0ABC">
        <w:rPr>
          <w:rFonts w:cs="Times New Roman"/>
        </w:rPr>
        <w:t xml:space="preserve"> 2): ii33-ii41.</w:t>
      </w:r>
      <w:r w:rsidRPr="003C0ABC" w:rsidDel="0047626F">
        <w:rPr>
          <w:rFonts w:cs="Times New Roman"/>
        </w:rPr>
        <w:t xml:space="preserve"> </w:t>
      </w:r>
    </w:p>
    <w:p w:rsidR="00CB756C" w:rsidRPr="003C0ABC" w:rsidRDefault="00CB756C" w:rsidP="00CB756C">
      <w:pPr>
        <w:ind w:left="284" w:hanging="284"/>
        <w:rPr>
          <w:rFonts w:cs="Times New Roman"/>
        </w:rPr>
      </w:pPr>
      <w:proofErr w:type="gramStart"/>
      <w:r w:rsidRPr="003C0ABC">
        <w:rPr>
          <w:rFonts w:cs="Times New Roman"/>
        </w:rPr>
        <w:t>Cancer Council Victoria (2015).</w:t>
      </w:r>
      <w:proofErr w:type="gramEnd"/>
      <w:r w:rsidRPr="003C0ABC">
        <w:rPr>
          <w:rFonts w:cs="Times New Roman"/>
        </w:rPr>
        <w:t xml:space="preserve"> Factsheet no.4: What is happening to the prevalence of smoking in Australia: questions and answers on plain packaging in </w:t>
      </w:r>
      <w:proofErr w:type="gramStart"/>
      <w:r w:rsidRPr="003C0ABC">
        <w:rPr>
          <w:rFonts w:cs="Times New Roman"/>
        </w:rPr>
        <w:t>Australia</w:t>
      </w:r>
      <w:proofErr w:type="gramEnd"/>
    </w:p>
    <w:p w:rsidR="00CB756C" w:rsidRPr="00CF2A46" w:rsidRDefault="00CB756C" w:rsidP="00CB756C">
      <w:pPr>
        <w:ind w:left="284" w:hanging="284"/>
        <w:rPr>
          <w:rFonts w:cs="Times New Roman"/>
          <w14:numSpacing w14:val="proportional"/>
        </w:rPr>
      </w:pPr>
      <w:r w:rsidRPr="00CF2A46">
        <w:rPr>
          <w:rFonts w:cs="Times New Roman"/>
          <w14:numSpacing w14:val="proportional"/>
        </w:rPr>
        <w:t>Centre for Behavioural Research (1992). Health Warnings: and Contents Labelling On Tobacco Products. Melbourne: Anti-Cancer Council of Victoria. http://legacy.library.ucsf.edu/tid/gku34e00/pdf</w:t>
      </w:r>
    </w:p>
    <w:p w:rsidR="00CB756C" w:rsidRPr="003C0ABC" w:rsidRDefault="00CB756C" w:rsidP="00CB756C">
      <w:pPr>
        <w:ind w:left="284" w:hanging="284"/>
        <w:rPr>
          <w:rFonts w:cs="Times New Roman"/>
        </w:rPr>
      </w:pPr>
      <w:r w:rsidRPr="002141FA">
        <w:rPr>
          <w:rFonts w:cs="Times New Roman"/>
        </w:rPr>
        <w:t>NSW Population Health Survey (</w:t>
      </w:r>
      <w:proofErr w:type="spellStart"/>
      <w:r w:rsidRPr="002141FA">
        <w:rPr>
          <w:rFonts w:cs="Times New Roman"/>
        </w:rPr>
        <w:t>SAPHaRI</w:t>
      </w:r>
      <w:proofErr w:type="spellEnd"/>
      <w:r w:rsidRPr="002141FA">
        <w:rPr>
          <w:rFonts w:cs="Times New Roman"/>
        </w:rPr>
        <w:t xml:space="preserve">). </w:t>
      </w:r>
      <w:hyperlink r:id="rId33" w:history="1">
        <w:r w:rsidRPr="005E54F2">
          <w:rPr>
            <w:rStyle w:val="Hyperlink"/>
            <w:rFonts w:cs="Times New Roman"/>
          </w:rPr>
          <w:t>Centre for Epidemiology and Evidence, NSW Ministry of Health; Accessed from Health Statistics NSW website</w:t>
        </w:r>
      </w:hyperlink>
      <w:r>
        <w:rPr>
          <w:rFonts w:cs="Times New Roman"/>
        </w:rPr>
        <w:t>: 2012 and 2013 (</w:t>
      </w:r>
      <w:r w:rsidRPr="005E54F2">
        <w:rPr>
          <w:rFonts w:cs="Times New Roman"/>
        </w:rPr>
        <w:t>www.healthstats.nsw.gov.au/Indicator/beh_smo_age/beh_smo_age_snap</w:t>
      </w:r>
      <w:r>
        <w:rPr>
          <w:rFonts w:cs="Times New Roman"/>
        </w:rPr>
        <w:t>)</w:t>
      </w:r>
    </w:p>
    <w:p w:rsidR="00CB756C" w:rsidRPr="003C0ABC" w:rsidRDefault="00CB756C" w:rsidP="00CB756C">
      <w:pPr>
        <w:ind w:left="284" w:hanging="284"/>
        <w:rPr>
          <w:rFonts w:cs="Times New Roman"/>
        </w:rPr>
      </w:pPr>
      <w:r w:rsidRPr="003C0ABC">
        <w:rPr>
          <w:rFonts w:cs="Times New Roman"/>
        </w:rPr>
        <w:t xml:space="preserve">Chapman S, Freeman B (2014). </w:t>
      </w:r>
      <w:proofErr w:type="gramStart"/>
      <w:r w:rsidRPr="003C0ABC">
        <w:rPr>
          <w:rFonts w:cs="Times New Roman"/>
        </w:rPr>
        <w:t>Removing the emperor’s clothes: Australia and tobacco plain packaging.</w:t>
      </w:r>
      <w:proofErr w:type="gramEnd"/>
      <w:r w:rsidRPr="003C0ABC">
        <w:rPr>
          <w:rFonts w:cs="Times New Roman"/>
        </w:rPr>
        <w:t xml:space="preserve"> Sydney University Press</w:t>
      </w:r>
    </w:p>
    <w:p w:rsidR="00CB756C" w:rsidRPr="003C0ABC" w:rsidRDefault="00CB756C" w:rsidP="00CB756C">
      <w:pPr>
        <w:ind w:left="284" w:hanging="284"/>
        <w:rPr>
          <w:rFonts w:cs="Times New Roman"/>
        </w:rPr>
      </w:pPr>
      <w:r w:rsidRPr="003C0ABC">
        <w:rPr>
          <w:rFonts w:cs="Times New Roman"/>
        </w:rPr>
        <w:t xml:space="preserve">Davidson, S. and A. de Silva, The plain truth about Plain packaging: An econometric analysis of the </w:t>
      </w:r>
      <w:proofErr w:type="gramStart"/>
      <w:r w:rsidRPr="003C0ABC">
        <w:rPr>
          <w:rFonts w:cs="Times New Roman"/>
        </w:rPr>
        <w:t>Australian  2011</w:t>
      </w:r>
      <w:proofErr w:type="gramEnd"/>
      <w:r w:rsidRPr="003C0ABC">
        <w:rPr>
          <w:rFonts w:cs="Times New Roman"/>
        </w:rPr>
        <w:t xml:space="preserve"> Tobacco Plain Packaging Act. </w:t>
      </w:r>
      <w:proofErr w:type="gramStart"/>
      <w:r w:rsidRPr="003C0ABC">
        <w:rPr>
          <w:rFonts w:cs="Times New Roman"/>
        </w:rPr>
        <w:t>Agenda - A Journal of Policy Analysis and Reform, 2014.</w:t>
      </w:r>
      <w:proofErr w:type="gramEnd"/>
      <w:r w:rsidRPr="003C0ABC">
        <w:rPr>
          <w:rFonts w:cs="Times New Roman"/>
        </w:rPr>
        <w:t xml:space="preserve"> 21(1): p. 1-5.</w:t>
      </w:r>
    </w:p>
    <w:p w:rsidR="00CB756C" w:rsidRPr="003C0ABC" w:rsidRDefault="00CB756C" w:rsidP="00CB756C">
      <w:pPr>
        <w:ind w:left="284" w:hanging="284"/>
        <w:rPr>
          <w:rFonts w:cs="Times New Roman"/>
        </w:rPr>
      </w:pPr>
      <w:r w:rsidRPr="003C0ABC">
        <w:rPr>
          <w:rFonts w:cs="Times New Roman"/>
        </w:rPr>
        <w:t xml:space="preserve">Deloitte </w:t>
      </w:r>
      <w:proofErr w:type="spellStart"/>
      <w:r w:rsidRPr="003C0ABC">
        <w:rPr>
          <w:rFonts w:cs="Times New Roman"/>
        </w:rPr>
        <w:t>Touche</w:t>
      </w:r>
      <w:proofErr w:type="spellEnd"/>
      <w:r w:rsidRPr="003C0ABC">
        <w:rPr>
          <w:rFonts w:cs="Times New Roman"/>
        </w:rPr>
        <w:t xml:space="preserve"> </w:t>
      </w:r>
      <w:proofErr w:type="spellStart"/>
      <w:r w:rsidRPr="003C0ABC">
        <w:rPr>
          <w:rFonts w:cs="Times New Roman"/>
        </w:rPr>
        <w:t>Tomatsu</w:t>
      </w:r>
      <w:proofErr w:type="spellEnd"/>
      <w:r w:rsidRPr="003C0ABC">
        <w:rPr>
          <w:rFonts w:cs="Times New Roman"/>
        </w:rPr>
        <w:t xml:space="preserve"> Ltd, </w:t>
      </w:r>
      <w:hyperlink r:id="rId34" w:history="1">
        <w:r w:rsidRPr="005E54F2">
          <w:rPr>
            <w:rStyle w:val="Hyperlink"/>
            <w:rFonts w:cs="Times New Roman"/>
          </w:rPr>
          <w:t>Illicit trade of tobacco in Australia</w:t>
        </w:r>
      </w:hyperlink>
      <w:r w:rsidRPr="003C0ABC">
        <w:rPr>
          <w:rFonts w:cs="Times New Roman"/>
        </w:rPr>
        <w:t xml:space="preserve">. </w:t>
      </w:r>
      <w:proofErr w:type="gramStart"/>
      <w:r w:rsidRPr="003C0ABC">
        <w:rPr>
          <w:rFonts w:cs="Times New Roman"/>
        </w:rPr>
        <w:t>Prepared for British American Tobacco Australia, Philip Morris d and Imperial Tobacco Australia.</w:t>
      </w:r>
      <w:proofErr w:type="gramEnd"/>
      <w:r w:rsidRPr="003C0ABC">
        <w:rPr>
          <w:rFonts w:cs="Times New Roman"/>
        </w:rPr>
        <w:t xml:space="preserve"> Sydney: British American Tobacco Australia, 2011a: </w:t>
      </w:r>
      <w:r>
        <w:rPr>
          <w:rFonts w:cs="Times New Roman"/>
        </w:rPr>
        <w:t>(</w:t>
      </w:r>
      <w:r w:rsidRPr="005E54F2">
        <w:rPr>
          <w:rFonts w:cs="Times New Roman"/>
        </w:rPr>
        <w:t>www.bata.com.au/group/sites/bat_7wykg8.nsf/vwPagesWebLive/DO7WZEX6/$FILE/medMD8EHAM5.pdf?openelement</w:t>
      </w:r>
      <w:r>
        <w:rPr>
          <w:rFonts w:cs="Times New Roman"/>
        </w:rPr>
        <w:t>)</w:t>
      </w:r>
    </w:p>
    <w:p w:rsidR="00CB756C" w:rsidRPr="003C0ABC" w:rsidRDefault="00CB756C" w:rsidP="00CB756C">
      <w:pPr>
        <w:ind w:left="284" w:hanging="284"/>
        <w:rPr>
          <w:rFonts w:cs="Times New Roman"/>
        </w:rPr>
      </w:pPr>
      <w:r w:rsidRPr="003C0ABC">
        <w:rPr>
          <w:rFonts w:cs="Times New Roman"/>
        </w:rPr>
        <w:t xml:space="preserve">Deloitte </w:t>
      </w:r>
      <w:proofErr w:type="spellStart"/>
      <w:r w:rsidRPr="003C0ABC">
        <w:rPr>
          <w:rFonts w:cs="Times New Roman"/>
        </w:rPr>
        <w:t>Touche</w:t>
      </w:r>
      <w:proofErr w:type="spellEnd"/>
      <w:r w:rsidRPr="003C0ABC">
        <w:rPr>
          <w:rFonts w:cs="Times New Roman"/>
        </w:rPr>
        <w:t xml:space="preserve"> </w:t>
      </w:r>
      <w:proofErr w:type="spellStart"/>
      <w:r w:rsidRPr="003C0ABC">
        <w:rPr>
          <w:rFonts w:cs="Times New Roman"/>
        </w:rPr>
        <w:t>Tomatsu</w:t>
      </w:r>
      <w:proofErr w:type="spellEnd"/>
      <w:r w:rsidRPr="003C0ABC">
        <w:rPr>
          <w:rFonts w:cs="Times New Roman"/>
        </w:rPr>
        <w:t xml:space="preserve"> Ltd, </w:t>
      </w:r>
      <w:hyperlink r:id="rId35" w:history="1">
        <w:r w:rsidRPr="00280E56">
          <w:rPr>
            <w:rStyle w:val="Hyperlink"/>
            <w:rFonts w:cs="Times New Roman"/>
          </w:rPr>
          <w:t>Potential impact on retailers from the introduction of plain tobacco packaging</w:t>
        </w:r>
      </w:hyperlink>
      <w:r w:rsidRPr="003C0ABC">
        <w:rPr>
          <w:rFonts w:cs="Times New Roman"/>
        </w:rPr>
        <w:t xml:space="preserve">, 2011b: </w:t>
      </w:r>
      <w:r>
        <w:rPr>
          <w:rFonts w:cs="Times New Roman"/>
        </w:rPr>
        <w:t>(</w:t>
      </w:r>
      <w:r w:rsidRPr="00280E56">
        <w:rPr>
          <w:rFonts w:cs="Times New Roman"/>
        </w:rPr>
        <w:t>www.australianretailers.com.au/downloads/pdf/deloitte/2011_01_31_AAR_Plain_Packaging2.pdf</w:t>
      </w:r>
      <w:r>
        <w:rPr>
          <w:rFonts w:cs="Times New Roman"/>
        </w:rPr>
        <w:t>)</w:t>
      </w:r>
    </w:p>
    <w:p w:rsidR="00CB756C" w:rsidRPr="003C0ABC" w:rsidRDefault="00CB756C" w:rsidP="00CB756C">
      <w:pPr>
        <w:ind w:left="284" w:hanging="284"/>
        <w:rPr>
          <w:rFonts w:cs="Times New Roman"/>
        </w:rPr>
      </w:pPr>
      <w:proofErr w:type="spellStart"/>
      <w:r w:rsidRPr="003C0ABC">
        <w:rPr>
          <w:rFonts w:cs="Times New Roman"/>
        </w:rPr>
        <w:lastRenderedPageBreak/>
        <w:t>Dono</w:t>
      </w:r>
      <w:proofErr w:type="spellEnd"/>
      <w:r w:rsidRPr="003C0ABC">
        <w:rPr>
          <w:rFonts w:cs="Times New Roman"/>
        </w:rPr>
        <w:t xml:space="preserve"> J, Miller C (2014). </w:t>
      </w:r>
      <w:hyperlink r:id="rId36" w:history="1">
        <w:r w:rsidRPr="00E040B0">
          <w:rPr>
            <w:rStyle w:val="Hyperlink"/>
            <w:rFonts w:cs="Times New Roman"/>
          </w:rPr>
          <w:t>Key smoking statistics for SA – 2013</w:t>
        </w:r>
      </w:hyperlink>
      <w:r w:rsidRPr="003C0ABC">
        <w:rPr>
          <w:rFonts w:cs="Times New Roman"/>
        </w:rPr>
        <w:t xml:space="preserve">. Adelaide: South Australian health and Medical Research Institute (SAHMRI). </w:t>
      </w:r>
      <w:r>
        <w:rPr>
          <w:rFonts w:cs="Times New Roman"/>
        </w:rPr>
        <w:t>(</w:t>
      </w:r>
      <w:r w:rsidRPr="00E040B0">
        <w:rPr>
          <w:rFonts w:cs="Times New Roman"/>
        </w:rPr>
        <w:t>www.sahmri.com/user_assets/c23dc77e9e0f242c8a59442c3bc21e1c56cbdbe5/key_smoking_statistics_for_sa_2013_-30_april_2014.pdf</w:t>
      </w:r>
      <w:r>
        <w:rPr>
          <w:rFonts w:cs="Times New Roman"/>
        </w:rPr>
        <w:t>)</w:t>
      </w:r>
    </w:p>
    <w:p w:rsidR="00CB756C" w:rsidRPr="003C0ABC" w:rsidRDefault="00CB756C" w:rsidP="00CB756C">
      <w:pPr>
        <w:ind w:left="284" w:hanging="284"/>
        <w:rPr>
          <w:rFonts w:cs="Times New Roman"/>
        </w:rPr>
      </w:pPr>
      <w:r w:rsidRPr="003C0ABC">
        <w:rPr>
          <w:rFonts w:cs="Times New Roman"/>
        </w:rPr>
        <w:t xml:space="preserve">Dunlop S, Dobbins T, Young J, Perez D, </w:t>
      </w:r>
      <w:proofErr w:type="spellStart"/>
      <w:r w:rsidRPr="003C0ABC">
        <w:rPr>
          <w:rFonts w:cs="Times New Roman"/>
        </w:rPr>
        <w:t>Currow</w:t>
      </w:r>
      <w:proofErr w:type="spellEnd"/>
      <w:r w:rsidRPr="003C0ABC">
        <w:rPr>
          <w:rFonts w:cs="Times New Roman"/>
        </w:rPr>
        <w:t xml:space="preserve"> D (2014). Impact of Australia’s introduction of tobacco plain packs on adult smokers’ pack-related perceptions and responses: results from a continuous tracking survey. </w:t>
      </w:r>
      <w:proofErr w:type="gramStart"/>
      <w:r w:rsidRPr="003C0ABC">
        <w:rPr>
          <w:rFonts w:cs="Times New Roman"/>
        </w:rPr>
        <w:t>BMJ open, 4(12) p. 1-10.</w:t>
      </w:r>
      <w:proofErr w:type="gramEnd"/>
    </w:p>
    <w:p w:rsidR="00CB756C" w:rsidRPr="003C0ABC" w:rsidRDefault="00CB756C" w:rsidP="00CB756C">
      <w:pPr>
        <w:ind w:left="284" w:hanging="284"/>
        <w:rPr>
          <w:rFonts w:cs="Times New Roman"/>
        </w:rPr>
      </w:pPr>
      <w:r w:rsidRPr="003C0ABC">
        <w:rPr>
          <w:rFonts w:cs="Times New Roman"/>
        </w:rPr>
        <w:t xml:space="preserve">Dunlop SM, Perez D, Young JM, </w:t>
      </w:r>
      <w:proofErr w:type="spellStart"/>
      <w:r w:rsidRPr="003C0ABC">
        <w:rPr>
          <w:rFonts w:cs="Times New Roman"/>
        </w:rPr>
        <w:t>Currow</w:t>
      </w:r>
      <w:proofErr w:type="spellEnd"/>
      <w:r w:rsidRPr="003C0ABC">
        <w:rPr>
          <w:rFonts w:cs="Times New Roman"/>
        </w:rPr>
        <w:t xml:space="preserve"> DC.  Australia's tobacco plain packs: Anticipated and actual impacts among youth and adults.  </w:t>
      </w:r>
      <w:proofErr w:type="gramStart"/>
      <w:r w:rsidRPr="003C0ABC">
        <w:rPr>
          <w:rFonts w:cs="Times New Roman"/>
        </w:rPr>
        <w:t>Accepted conference abstract for the Behavioural Research in Cancer Control Conference (May 2015).</w:t>
      </w:r>
      <w:proofErr w:type="gramEnd"/>
    </w:p>
    <w:p w:rsidR="00CB756C" w:rsidRPr="003C0ABC" w:rsidRDefault="00CB756C" w:rsidP="00CB756C">
      <w:pPr>
        <w:ind w:left="284" w:hanging="284"/>
        <w:rPr>
          <w:rFonts w:cs="Times New Roman"/>
        </w:rPr>
      </w:pPr>
      <w:r w:rsidRPr="003C0ABC">
        <w:rPr>
          <w:rFonts w:cs="Times New Roman"/>
        </w:rPr>
        <w:t xml:space="preserve">Durkin S, Brennan E, </w:t>
      </w:r>
      <w:proofErr w:type="spellStart"/>
      <w:r w:rsidRPr="003C0ABC">
        <w:rPr>
          <w:rFonts w:cs="Times New Roman"/>
        </w:rPr>
        <w:t>Coomber</w:t>
      </w:r>
      <w:proofErr w:type="spellEnd"/>
      <w:r w:rsidRPr="003C0ABC">
        <w:rPr>
          <w:rFonts w:cs="Times New Roman"/>
        </w:rPr>
        <w:t xml:space="preserve"> K, </w:t>
      </w:r>
      <w:proofErr w:type="spellStart"/>
      <w:r w:rsidRPr="003C0ABC">
        <w:rPr>
          <w:rFonts w:cs="Times New Roman"/>
        </w:rPr>
        <w:t>Zacher</w:t>
      </w:r>
      <w:proofErr w:type="spellEnd"/>
      <w:r w:rsidRPr="003C0ABC">
        <w:rPr>
          <w:rFonts w:cs="Times New Roman"/>
        </w:rPr>
        <w:t xml:space="preserve"> M, </w:t>
      </w:r>
      <w:proofErr w:type="spellStart"/>
      <w:r w:rsidRPr="003C0ABC">
        <w:rPr>
          <w:rFonts w:cs="Times New Roman"/>
        </w:rPr>
        <w:t>Scollo</w:t>
      </w:r>
      <w:proofErr w:type="spellEnd"/>
      <w:r w:rsidRPr="003C0ABC">
        <w:rPr>
          <w:rFonts w:cs="Times New Roman"/>
        </w:rPr>
        <w:t xml:space="preserve"> M, Wakefield M. Short-term changes in quitting-related cognitions and behaviours after the implementation of plain packaging with larger health warnings: findings from a national cohort study with Australian adult smokers. Tobacco Control 2015; 24(</w:t>
      </w:r>
      <w:proofErr w:type="spellStart"/>
      <w:r w:rsidRPr="003C0ABC">
        <w:rPr>
          <w:rFonts w:cs="Times New Roman"/>
        </w:rPr>
        <w:t>Suppl</w:t>
      </w:r>
      <w:proofErr w:type="spellEnd"/>
      <w:r w:rsidRPr="003C0ABC">
        <w:rPr>
          <w:rFonts w:cs="Times New Roman"/>
        </w:rPr>
        <w:t xml:space="preserve"> 2): p. ii26-ii32.</w:t>
      </w:r>
    </w:p>
    <w:p w:rsidR="00CB756C" w:rsidRPr="003C0ABC" w:rsidRDefault="00CB756C" w:rsidP="00CB756C">
      <w:pPr>
        <w:ind w:left="284" w:hanging="284"/>
        <w:rPr>
          <w:rFonts w:cs="Times New Roman"/>
        </w:rPr>
      </w:pPr>
      <w:r w:rsidRPr="003C0ABC">
        <w:rPr>
          <w:rFonts w:cs="Times New Roman"/>
        </w:rPr>
        <w:t xml:space="preserve">Durkin S, et al. (2014) </w:t>
      </w:r>
      <w:proofErr w:type="gramStart"/>
      <w:r w:rsidRPr="003C0ABC">
        <w:rPr>
          <w:rFonts w:cs="Times New Roman"/>
        </w:rPr>
        <w:t>Early</w:t>
      </w:r>
      <w:proofErr w:type="gramEnd"/>
      <w:r w:rsidRPr="003C0ABC">
        <w:rPr>
          <w:rFonts w:cs="Times New Roman"/>
        </w:rPr>
        <w:t xml:space="preserve"> evidence about the predicted unintended consequences of standardised packaging of tobacco products in Australia: a cross-sectional study of the place of purchase, regular brands and use of illicit tobacco. BMJ</w:t>
      </w:r>
    </w:p>
    <w:p w:rsidR="00CB756C" w:rsidRPr="003C0ABC" w:rsidRDefault="00CB756C" w:rsidP="00CB756C">
      <w:pPr>
        <w:ind w:left="284" w:hanging="284"/>
        <w:rPr>
          <w:rFonts w:cs="Times New Roman"/>
        </w:rPr>
      </w:pPr>
      <w:proofErr w:type="spellStart"/>
      <w:proofErr w:type="gramStart"/>
      <w:r w:rsidRPr="003C0ABC">
        <w:rPr>
          <w:rFonts w:cs="Times New Roman"/>
        </w:rPr>
        <w:t>Euromonitor</w:t>
      </w:r>
      <w:proofErr w:type="spellEnd"/>
      <w:r w:rsidRPr="003C0ABC">
        <w:rPr>
          <w:rFonts w:cs="Times New Roman"/>
        </w:rPr>
        <w:t xml:space="preserve"> International (2014).</w:t>
      </w:r>
      <w:proofErr w:type="gramEnd"/>
      <w:r w:rsidRPr="003C0ABC">
        <w:rPr>
          <w:rFonts w:cs="Times New Roman"/>
        </w:rPr>
        <w:t xml:space="preserve"> </w:t>
      </w:r>
      <w:proofErr w:type="gramStart"/>
      <w:r w:rsidRPr="003C0ABC">
        <w:rPr>
          <w:rFonts w:cs="Times New Roman"/>
        </w:rPr>
        <w:t>Tobacco Packaging in Australia.</w:t>
      </w:r>
      <w:proofErr w:type="gramEnd"/>
    </w:p>
    <w:p w:rsidR="00CB756C" w:rsidRPr="003C0ABC" w:rsidRDefault="00CB756C" w:rsidP="00CB756C">
      <w:pPr>
        <w:ind w:left="284" w:hanging="284"/>
        <w:rPr>
          <w:rFonts w:cs="Times New Roman"/>
        </w:rPr>
      </w:pPr>
      <w:proofErr w:type="gramStart"/>
      <w:r w:rsidRPr="003C0ABC">
        <w:rPr>
          <w:rFonts w:cs="Times New Roman"/>
        </w:rPr>
        <w:t>Europe Economics (2015).</w:t>
      </w:r>
      <w:proofErr w:type="gramEnd"/>
      <w:r w:rsidRPr="003C0ABC">
        <w:rPr>
          <w:rFonts w:cs="Times New Roman"/>
        </w:rPr>
        <w:t xml:space="preserve"> </w:t>
      </w:r>
      <w:proofErr w:type="gramStart"/>
      <w:r w:rsidRPr="003C0ABC">
        <w:rPr>
          <w:rFonts w:cs="Times New Roman"/>
        </w:rPr>
        <w:t>Review of Current Evidence Regarding the Impacts of Plain Packaging in Australia upon Consumption, Prevalence and Competition/Market Dynamics.</w:t>
      </w:r>
      <w:proofErr w:type="gramEnd"/>
      <w:r w:rsidRPr="003C0ABC">
        <w:rPr>
          <w:rFonts w:cs="Times New Roman"/>
        </w:rPr>
        <w:t xml:space="preserve"> London: Europe Economics</w:t>
      </w:r>
    </w:p>
    <w:p w:rsidR="00CB756C" w:rsidRPr="003C0ABC" w:rsidRDefault="00CB756C" w:rsidP="00CB756C">
      <w:pPr>
        <w:ind w:left="284" w:hanging="284"/>
        <w:rPr>
          <w:rFonts w:cs="Times New Roman"/>
        </w:rPr>
      </w:pPr>
      <w:r w:rsidRPr="003C0ABC">
        <w:rPr>
          <w:rFonts w:cs="Times New Roman"/>
        </w:rPr>
        <w:t>Europe Economics (2008), Economic analysis of a display ban and/or a plain packs requirement in the UK, Europe Economics: London.</w:t>
      </w:r>
    </w:p>
    <w:p w:rsidR="00CB756C" w:rsidRDefault="00CB756C" w:rsidP="00CB756C">
      <w:pPr>
        <w:ind w:left="284" w:hanging="284"/>
        <w:rPr>
          <w:rFonts w:cs="Times New Roman"/>
        </w:rPr>
      </w:pPr>
      <w:proofErr w:type="spellStart"/>
      <w:r w:rsidRPr="003C0ABC">
        <w:rPr>
          <w:rFonts w:cs="Times New Roman"/>
        </w:rPr>
        <w:t>Kaul</w:t>
      </w:r>
      <w:proofErr w:type="spellEnd"/>
      <w:r w:rsidRPr="003C0ABC">
        <w:rPr>
          <w:rFonts w:cs="Times New Roman"/>
        </w:rPr>
        <w:t xml:space="preserve"> A, Wolf, M (2014). The (possible) effect of plain packaging on smoking </w:t>
      </w:r>
      <w:r>
        <w:rPr>
          <w:rFonts w:cs="Times New Roman"/>
        </w:rPr>
        <w:t xml:space="preserve">the smoking </w:t>
      </w:r>
      <w:r w:rsidRPr="003C0ABC">
        <w:rPr>
          <w:rFonts w:cs="Times New Roman"/>
        </w:rPr>
        <w:t>prevalence</w:t>
      </w:r>
      <w:r>
        <w:rPr>
          <w:rFonts w:cs="Times New Roman"/>
        </w:rPr>
        <w:t xml:space="preserve"> of minors</w:t>
      </w:r>
      <w:r w:rsidRPr="003C0ABC">
        <w:rPr>
          <w:rFonts w:cs="Times New Roman"/>
        </w:rPr>
        <w:t xml:space="preserve"> in Australia: A trend analysis. University of Zurich, Department of </w:t>
      </w:r>
      <w:r>
        <w:rPr>
          <w:rFonts w:cs="Times New Roman"/>
        </w:rPr>
        <w:t>Economics, Working Paper No. 149</w:t>
      </w:r>
    </w:p>
    <w:p w:rsidR="00CB756C" w:rsidRPr="003C0ABC" w:rsidRDefault="00CB756C" w:rsidP="00CB756C">
      <w:pPr>
        <w:ind w:left="284" w:hanging="284"/>
        <w:rPr>
          <w:rFonts w:cs="Times New Roman"/>
        </w:rPr>
      </w:pPr>
      <w:proofErr w:type="spellStart"/>
      <w:r w:rsidRPr="003C0ABC">
        <w:rPr>
          <w:rFonts w:cs="Times New Roman"/>
        </w:rPr>
        <w:t>Kaul</w:t>
      </w:r>
      <w:proofErr w:type="spellEnd"/>
      <w:r w:rsidRPr="003C0ABC">
        <w:rPr>
          <w:rFonts w:cs="Times New Roman"/>
        </w:rPr>
        <w:t xml:space="preserve"> A, Wolf, M (2014). The (possible) effect of plain packaging on smoking prevalence in Australia: A trend analysis. University of Zurich, Department of E</w:t>
      </w:r>
      <w:r>
        <w:rPr>
          <w:rFonts w:cs="Times New Roman"/>
        </w:rPr>
        <w:t>conomics, Working Paper No. 165</w:t>
      </w:r>
    </w:p>
    <w:p w:rsidR="00CB756C" w:rsidRPr="003C0ABC" w:rsidRDefault="00CB756C" w:rsidP="00CB756C">
      <w:pPr>
        <w:ind w:left="284" w:hanging="284"/>
        <w:rPr>
          <w:rFonts w:cs="Times New Roman"/>
        </w:rPr>
      </w:pPr>
      <w:r w:rsidRPr="003C0ABC">
        <w:rPr>
          <w:rFonts w:cs="Times New Roman"/>
        </w:rPr>
        <w:t xml:space="preserve">Kerr C (2014). </w:t>
      </w:r>
      <w:proofErr w:type="spellStart"/>
      <w:r w:rsidRPr="003C0ABC">
        <w:rPr>
          <w:rFonts w:cs="Times New Roman"/>
        </w:rPr>
        <w:t>Labor’s</w:t>
      </w:r>
      <w:proofErr w:type="spellEnd"/>
      <w:r w:rsidRPr="003C0ABC">
        <w:rPr>
          <w:rFonts w:cs="Times New Roman"/>
        </w:rPr>
        <w:t xml:space="preserve"> Plain Packaging Fails as cigarette sales rise’, The Australian, 6 June 2014 </w:t>
      </w:r>
    </w:p>
    <w:p w:rsidR="00CB756C" w:rsidRPr="003C0ABC" w:rsidRDefault="00CB756C" w:rsidP="00CB756C">
      <w:pPr>
        <w:ind w:left="284" w:hanging="284"/>
        <w:rPr>
          <w:rFonts w:cs="Times New Roman"/>
        </w:rPr>
      </w:pPr>
      <w:r w:rsidRPr="003C0ABC">
        <w:rPr>
          <w:rFonts w:cs="Times New Roman"/>
        </w:rPr>
        <w:t xml:space="preserve">Kerr C, Creighton A (2014). </w:t>
      </w:r>
      <w:proofErr w:type="gramStart"/>
      <w:r w:rsidRPr="003C0ABC">
        <w:rPr>
          <w:rFonts w:cs="Times New Roman"/>
        </w:rPr>
        <w:t>Plain wrong?</w:t>
      </w:r>
      <w:proofErr w:type="gramEnd"/>
      <w:r w:rsidRPr="003C0ABC">
        <w:rPr>
          <w:rFonts w:cs="Times New Roman"/>
        </w:rPr>
        <w:t xml:space="preserve"> Here are the facts: cheap smokers are on the rise since plain packaging. The Australian June 18, 2014.</w:t>
      </w:r>
    </w:p>
    <w:p w:rsidR="00CB756C" w:rsidRPr="003C0ABC" w:rsidRDefault="00CE36BA" w:rsidP="00CB756C">
      <w:pPr>
        <w:ind w:left="284" w:hanging="284"/>
        <w:rPr>
          <w:rFonts w:cs="Times New Roman"/>
        </w:rPr>
      </w:pPr>
      <w:hyperlink r:id="rId37" w:history="1">
        <w:r w:rsidR="00CB756C" w:rsidRPr="00E040B0">
          <w:rPr>
            <w:rStyle w:val="Hyperlink"/>
            <w:rFonts w:cs="Times New Roman"/>
          </w:rPr>
          <w:t>KPMG, Illicit tobacco in Australia. 2013</w:t>
        </w:r>
      </w:hyperlink>
      <w:r w:rsidR="00CB756C" w:rsidRPr="003C0ABC">
        <w:rPr>
          <w:rFonts w:cs="Times New Roman"/>
        </w:rPr>
        <w:t xml:space="preserve"> Full Year Report, 2014: </w:t>
      </w:r>
      <w:r w:rsidR="00CB756C">
        <w:rPr>
          <w:rFonts w:cs="Times New Roman"/>
        </w:rPr>
        <w:t>(</w:t>
      </w:r>
      <w:r w:rsidR="00CB756C" w:rsidRPr="00E040B0">
        <w:rPr>
          <w:rFonts w:cs="Times New Roman"/>
        </w:rPr>
        <w:t>www.bata.com.au/group/sites/bat_7wykg8.nsf/vwPagesWebLive/DO9FC38M/$FILE/medMD9J35E3.pdf?openelement</w:t>
      </w:r>
      <w:r w:rsidR="00CB756C">
        <w:rPr>
          <w:rFonts w:cs="Times New Roman"/>
        </w:rPr>
        <w:t>)</w:t>
      </w:r>
    </w:p>
    <w:p w:rsidR="00CB756C" w:rsidRPr="003C0ABC" w:rsidRDefault="00CB756C" w:rsidP="00CB756C">
      <w:pPr>
        <w:ind w:left="284" w:hanging="284"/>
        <w:rPr>
          <w:rFonts w:cs="Times New Roman"/>
        </w:rPr>
      </w:pPr>
      <w:proofErr w:type="gramStart"/>
      <w:r w:rsidRPr="003C0ABC">
        <w:rPr>
          <w:rFonts w:cs="Times New Roman"/>
        </w:rPr>
        <w:t xml:space="preserve">Lin, C., </w:t>
      </w:r>
      <w:proofErr w:type="spellStart"/>
      <w:r w:rsidRPr="003C0ABC">
        <w:rPr>
          <w:rFonts w:cs="Times New Roman"/>
        </w:rPr>
        <w:t>Jalleh</w:t>
      </w:r>
      <w:proofErr w:type="spellEnd"/>
      <w:r w:rsidRPr="003C0ABC">
        <w:rPr>
          <w:rFonts w:cs="Times New Roman"/>
        </w:rPr>
        <w:t>, G., &amp; Donovan, R.J. (2014).</w:t>
      </w:r>
      <w:proofErr w:type="gramEnd"/>
      <w:r w:rsidRPr="003C0ABC">
        <w:rPr>
          <w:rFonts w:cs="Times New Roman"/>
        </w:rPr>
        <w:t xml:space="preserve"> </w:t>
      </w:r>
      <w:proofErr w:type="gramStart"/>
      <w:r w:rsidRPr="003C0ABC">
        <w:rPr>
          <w:rFonts w:cs="Times New Roman"/>
        </w:rPr>
        <w:t>Evaluation of the Make Smoking History “Sponge” Campaign: Wave 34.</w:t>
      </w:r>
      <w:proofErr w:type="gramEnd"/>
      <w:r w:rsidRPr="003C0ABC">
        <w:rPr>
          <w:rFonts w:cs="Times New Roman"/>
        </w:rPr>
        <w:t xml:space="preserve"> Report to the Cancer Council Western Australia. Centre for Behavioural Research in Cancer Control, Faculty of Health Sciences, Curtin University, Perth. Report #: 040519.</w:t>
      </w:r>
    </w:p>
    <w:p w:rsidR="00CB756C" w:rsidRPr="003C0ABC" w:rsidRDefault="00CB756C" w:rsidP="00CB756C">
      <w:pPr>
        <w:ind w:left="284" w:hanging="284"/>
        <w:rPr>
          <w:rFonts w:cs="Times New Roman"/>
        </w:rPr>
      </w:pPr>
      <w:proofErr w:type="gramStart"/>
      <w:r w:rsidRPr="003C0ABC">
        <w:rPr>
          <w:rFonts w:cs="Times New Roman"/>
        </w:rPr>
        <w:t xml:space="preserve">Miller, C.L., </w:t>
      </w:r>
      <w:proofErr w:type="spellStart"/>
      <w:r w:rsidRPr="003C0ABC">
        <w:rPr>
          <w:rFonts w:cs="Times New Roman"/>
        </w:rPr>
        <w:t>Ettridge</w:t>
      </w:r>
      <w:proofErr w:type="spellEnd"/>
      <w:r w:rsidRPr="003C0ABC">
        <w:rPr>
          <w:rFonts w:cs="Times New Roman"/>
        </w:rPr>
        <w:t>, K.A., Wakefield, M. (2015).</w:t>
      </w:r>
      <w:proofErr w:type="gramEnd"/>
      <w:r w:rsidRPr="003C0ABC">
        <w:rPr>
          <w:rFonts w:cs="Times New Roman"/>
        </w:rPr>
        <w:t xml:space="preserve"> “You're made to feel like a dirty filthy smoker when you're </w:t>
      </w:r>
      <w:proofErr w:type="gramStart"/>
      <w:r w:rsidRPr="003C0ABC">
        <w:rPr>
          <w:rFonts w:cs="Times New Roman"/>
        </w:rPr>
        <w:t>not,</w:t>
      </w:r>
      <w:proofErr w:type="gramEnd"/>
      <w:r w:rsidRPr="003C0ABC">
        <w:rPr>
          <w:rFonts w:cs="Times New Roman"/>
        </w:rPr>
        <w:t xml:space="preserve"> cigar smoking is another thing all together.” </w:t>
      </w:r>
      <w:proofErr w:type="gramStart"/>
      <w:r w:rsidRPr="003C0ABC">
        <w:rPr>
          <w:rFonts w:cs="Times New Roman"/>
        </w:rPr>
        <w:t>Responses of Australian cigar and cigarillo smokers to plain packaging.</w:t>
      </w:r>
      <w:proofErr w:type="gramEnd"/>
      <w:r w:rsidRPr="003C0ABC">
        <w:rPr>
          <w:rFonts w:cs="Times New Roman"/>
        </w:rPr>
        <w:t xml:space="preserve"> </w:t>
      </w:r>
      <w:proofErr w:type="gramStart"/>
      <w:r w:rsidRPr="003C0ABC">
        <w:rPr>
          <w:rFonts w:cs="Times New Roman"/>
        </w:rPr>
        <w:t>Tobacco Control 24.</w:t>
      </w:r>
      <w:proofErr w:type="gramEnd"/>
      <w:r w:rsidRPr="003C0ABC">
        <w:rPr>
          <w:rFonts w:cs="Times New Roman"/>
        </w:rPr>
        <w:t xml:space="preserve"> </w:t>
      </w:r>
      <w:proofErr w:type="gramStart"/>
      <w:r w:rsidRPr="003C0ABC">
        <w:rPr>
          <w:rFonts w:cs="Times New Roman"/>
        </w:rPr>
        <w:t>p</w:t>
      </w:r>
      <w:proofErr w:type="gramEnd"/>
      <w:r w:rsidRPr="003C0ABC">
        <w:rPr>
          <w:rFonts w:cs="Times New Roman"/>
        </w:rPr>
        <w:t>. ii58-ii65</w:t>
      </w:r>
    </w:p>
    <w:p w:rsidR="00CB756C" w:rsidRPr="003C0ABC" w:rsidRDefault="00CB756C" w:rsidP="00CB756C">
      <w:pPr>
        <w:ind w:left="284" w:hanging="284"/>
        <w:rPr>
          <w:rFonts w:cs="Times New Roman"/>
        </w:rPr>
      </w:pPr>
      <w:proofErr w:type="spellStart"/>
      <w:r w:rsidRPr="003C0ABC">
        <w:rPr>
          <w:rFonts w:cs="Times New Roman"/>
        </w:rPr>
        <w:lastRenderedPageBreak/>
        <w:t>Partos</w:t>
      </w:r>
      <w:proofErr w:type="spellEnd"/>
      <w:r w:rsidRPr="003C0ABC">
        <w:rPr>
          <w:rFonts w:cs="Times New Roman"/>
        </w:rPr>
        <w:t xml:space="preserve">, T.R., Borland, R., Yong, H.H., et al (2013). Cigarette packet warning labels can prevent relapse: findings from the international tobacco control four country policy evaluation cohort study. </w:t>
      </w:r>
      <w:proofErr w:type="gramStart"/>
      <w:r w:rsidRPr="003C0ABC">
        <w:rPr>
          <w:rFonts w:cs="Times New Roman"/>
        </w:rPr>
        <w:t>Tobacco Control, 22, e43-e50.</w:t>
      </w:r>
      <w:proofErr w:type="gramEnd"/>
    </w:p>
    <w:p w:rsidR="00CB756C" w:rsidRPr="003C0ABC" w:rsidRDefault="00CB756C" w:rsidP="00CB756C">
      <w:pPr>
        <w:ind w:left="284" w:hanging="284"/>
        <w:rPr>
          <w:rFonts w:cs="Times New Roman"/>
        </w:rPr>
      </w:pPr>
      <w:proofErr w:type="spellStart"/>
      <w:r w:rsidRPr="003C0ABC">
        <w:rPr>
          <w:rFonts w:cs="Times New Roman"/>
        </w:rPr>
        <w:t>Radomiljac</w:t>
      </w:r>
      <w:proofErr w:type="spellEnd"/>
      <w:r w:rsidRPr="003C0ABC">
        <w:rPr>
          <w:rFonts w:cs="Times New Roman"/>
        </w:rPr>
        <w:t xml:space="preserve"> A, Joyce S (2014). Health and wellbeing of adults in Western Australia 2013: overview and trends. WA: Department of Health</w:t>
      </w:r>
    </w:p>
    <w:p w:rsidR="00CB756C" w:rsidRPr="003C0ABC" w:rsidRDefault="00CB756C" w:rsidP="00CB756C">
      <w:pPr>
        <w:ind w:left="284" w:hanging="284"/>
        <w:rPr>
          <w:rFonts w:cs="Times New Roman"/>
        </w:rPr>
      </w:pPr>
      <w:r w:rsidRPr="003C0ABC">
        <w:rPr>
          <w:rFonts w:cs="Times New Roman"/>
        </w:rPr>
        <w:t>Roy Morgan Research (2012). How we collect and process Single Source data in Australia. Melbourne Roy Morgan Research</w:t>
      </w:r>
    </w:p>
    <w:p w:rsidR="00CB756C" w:rsidRPr="003C0ABC" w:rsidRDefault="00CB756C" w:rsidP="00CB756C">
      <w:pPr>
        <w:ind w:left="284" w:hanging="284"/>
        <w:rPr>
          <w:rFonts w:cs="Times New Roman"/>
        </w:rPr>
      </w:pPr>
      <w:proofErr w:type="spellStart"/>
      <w:proofErr w:type="gramStart"/>
      <w:r w:rsidRPr="003C0ABC">
        <w:rPr>
          <w:rFonts w:cs="Times New Roman"/>
        </w:rPr>
        <w:t>Scollo</w:t>
      </w:r>
      <w:proofErr w:type="spellEnd"/>
      <w:r w:rsidRPr="003C0ABC">
        <w:rPr>
          <w:rFonts w:cs="Times New Roman"/>
        </w:rPr>
        <w:t xml:space="preserve"> M, </w:t>
      </w:r>
      <w:proofErr w:type="spellStart"/>
      <w:r w:rsidRPr="003C0ABC">
        <w:rPr>
          <w:rFonts w:cs="Times New Roman"/>
        </w:rPr>
        <w:t>Zacher</w:t>
      </w:r>
      <w:proofErr w:type="spellEnd"/>
      <w:r w:rsidRPr="003C0ABC">
        <w:rPr>
          <w:rFonts w:cs="Times New Roman"/>
        </w:rPr>
        <w:t xml:space="preserve"> M, </w:t>
      </w:r>
      <w:proofErr w:type="spellStart"/>
      <w:r w:rsidRPr="003C0ABC">
        <w:rPr>
          <w:rFonts w:cs="Times New Roman"/>
        </w:rPr>
        <w:t>Coomber</w:t>
      </w:r>
      <w:proofErr w:type="spellEnd"/>
      <w:r w:rsidRPr="003C0ABC">
        <w:rPr>
          <w:rFonts w:cs="Times New Roman"/>
        </w:rPr>
        <w:t xml:space="preserve"> K, </w:t>
      </w:r>
      <w:proofErr w:type="spellStart"/>
      <w:r w:rsidRPr="003C0ABC">
        <w:rPr>
          <w:rFonts w:cs="Times New Roman"/>
        </w:rPr>
        <w:t>Bayly</w:t>
      </w:r>
      <w:proofErr w:type="spellEnd"/>
      <w:r w:rsidRPr="003C0ABC">
        <w:rPr>
          <w:rFonts w:cs="Times New Roman"/>
        </w:rPr>
        <w:t xml:space="preserve"> M, Wakefield M (2015).</w:t>
      </w:r>
      <w:proofErr w:type="gramEnd"/>
      <w:r w:rsidRPr="003C0ABC">
        <w:rPr>
          <w:rFonts w:cs="Times New Roman"/>
        </w:rPr>
        <w:t xml:space="preserve"> Changes in use of types of tobacco products by pack sizes and price segments, prices paid and consumption following the introduction of plain packaging in Australia, Tobacco Control, 24 (</w:t>
      </w:r>
      <w:proofErr w:type="spellStart"/>
      <w:r w:rsidRPr="003C0ABC">
        <w:rPr>
          <w:rFonts w:cs="Times New Roman"/>
        </w:rPr>
        <w:t>Suppl</w:t>
      </w:r>
      <w:proofErr w:type="spellEnd"/>
      <w:r w:rsidRPr="003C0ABC">
        <w:rPr>
          <w:rFonts w:cs="Times New Roman"/>
        </w:rPr>
        <w:t xml:space="preserve"> 2): ii66-ii75</w:t>
      </w:r>
    </w:p>
    <w:p w:rsidR="00CB756C" w:rsidRPr="003C0ABC" w:rsidRDefault="00CB756C" w:rsidP="00CB756C">
      <w:pPr>
        <w:ind w:left="284" w:hanging="284"/>
        <w:rPr>
          <w:rFonts w:cs="Times New Roman"/>
        </w:rPr>
      </w:pPr>
      <w:proofErr w:type="spellStart"/>
      <w:proofErr w:type="gramStart"/>
      <w:r w:rsidRPr="003C0ABC">
        <w:rPr>
          <w:rFonts w:cs="Times New Roman"/>
        </w:rPr>
        <w:t>Scollo</w:t>
      </w:r>
      <w:proofErr w:type="spellEnd"/>
      <w:r w:rsidRPr="003C0ABC">
        <w:rPr>
          <w:rFonts w:cs="Times New Roman"/>
        </w:rPr>
        <w:t xml:space="preserve"> M, </w:t>
      </w:r>
      <w:proofErr w:type="spellStart"/>
      <w:r w:rsidRPr="003C0ABC">
        <w:rPr>
          <w:rFonts w:cs="Times New Roman"/>
        </w:rPr>
        <w:t>Coomber</w:t>
      </w:r>
      <w:proofErr w:type="spellEnd"/>
      <w:r w:rsidRPr="003C0ABC">
        <w:rPr>
          <w:rFonts w:cs="Times New Roman"/>
        </w:rPr>
        <w:t xml:space="preserve"> K, </w:t>
      </w:r>
      <w:proofErr w:type="spellStart"/>
      <w:r w:rsidRPr="003C0ABC">
        <w:rPr>
          <w:rFonts w:cs="Times New Roman"/>
        </w:rPr>
        <w:t>Zacher</w:t>
      </w:r>
      <w:proofErr w:type="spellEnd"/>
      <w:r w:rsidRPr="003C0ABC">
        <w:rPr>
          <w:rFonts w:cs="Times New Roman"/>
        </w:rPr>
        <w:t xml:space="preserve"> M, Wakefield M.</w:t>
      </w:r>
      <w:proofErr w:type="gramEnd"/>
      <w:r w:rsidRPr="003C0ABC">
        <w:rPr>
          <w:rFonts w:cs="Times New Roman"/>
        </w:rPr>
        <w:t xml:space="preserve"> Did smokers shift from small mixed businesses to discount outlets following the introduction of plain packaging in Australia? </w:t>
      </w:r>
      <w:proofErr w:type="gramStart"/>
      <w:r w:rsidRPr="003C0ABC">
        <w:rPr>
          <w:rFonts w:cs="Times New Roman"/>
        </w:rPr>
        <w:t>A national cross-sectional survey [Research Letter].</w:t>
      </w:r>
      <w:proofErr w:type="gramEnd"/>
      <w:r w:rsidRPr="003C0ABC">
        <w:rPr>
          <w:rFonts w:cs="Times New Roman"/>
        </w:rPr>
        <w:t xml:space="preserve"> Tobacco Control 2015; 24(</w:t>
      </w:r>
      <w:proofErr w:type="spellStart"/>
      <w:r w:rsidRPr="003C0ABC">
        <w:rPr>
          <w:rFonts w:cs="Times New Roman"/>
        </w:rPr>
        <w:t>Suppl</w:t>
      </w:r>
      <w:proofErr w:type="spellEnd"/>
      <w:r w:rsidRPr="003C0ABC">
        <w:rPr>
          <w:rFonts w:cs="Times New Roman"/>
        </w:rPr>
        <w:t xml:space="preserve"> 2): ii98-ii100. </w:t>
      </w:r>
    </w:p>
    <w:p w:rsidR="00CB756C" w:rsidRPr="003C0ABC" w:rsidRDefault="00CB756C" w:rsidP="00CB756C">
      <w:pPr>
        <w:ind w:left="284" w:hanging="284"/>
        <w:rPr>
          <w:rFonts w:cs="Times New Roman"/>
        </w:rPr>
      </w:pPr>
      <w:proofErr w:type="spellStart"/>
      <w:r w:rsidRPr="003C0ABC">
        <w:rPr>
          <w:rFonts w:cs="Times New Roman"/>
        </w:rPr>
        <w:t>Scollo</w:t>
      </w:r>
      <w:proofErr w:type="spellEnd"/>
      <w:r w:rsidRPr="003C0ABC">
        <w:rPr>
          <w:rFonts w:cs="Times New Roman"/>
        </w:rPr>
        <w:t xml:space="preserve"> M, </w:t>
      </w:r>
      <w:proofErr w:type="spellStart"/>
      <w:r w:rsidRPr="003C0ABC">
        <w:rPr>
          <w:rFonts w:cs="Times New Roman"/>
        </w:rPr>
        <w:t>Zacher</w:t>
      </w:r>
      <w:proofErr w:type="spellEnd"/>
      <w:r w:rsidRPr="003C0ABC">
        <w:rPr>
          <w:rFonts w:cs="Times New Roman"/>
        </w:rPr>
        <w:t xml:space="preserve"> M, Durkin S, </w:t>
      </w:r>
      <w:proofErr w:type="spellStart"/>
      <w:r w:rsidRPr="003C0ABC">
        <w:rPr>
          <w:rFonts w:cs="Times New Roman"/>
        </w:rPr>
        <w:t>Coomber</w:t>
      </w:r>
      <w:proofErr w:type="spellEnd"/>
      <w:r w:rsidRPr="003C0ABC">
        <w:rPr>
          <w:rFonts w:cs="Times New Roman"/>
        </w:rPr>
        <w:t xml:space="preserve"> K, Wakefield M. Use of illicit tobacco following introduction of standardised packaging of tobacco products in Australia: results from a national cross-sectional survey. Tobacco Control 2015; 24(</w:t>
      </w:r>
      <w:proofErr w:type="spellStart"/>
      <w:r w:rsidRPr="003C0ABC">
        <w:rPr>
          <w:rFonts w:cs="Times New Roman"/>
        </w:rPr>
        <w:t>Suppl</w:t>
      </w:r>
      <w:proofErr w:type="spellEnd"/>
      <w:r w:rsidRPr="003C0ABC">
        <w:rPr>
          <w:rFonts w:cs="Times New Roman"/>
        </w:rPr>
        <w:t xml:space="preserve"> 2): ii76-ii81. </w:t>
      </w:r>
    </w:p>
    <w:p w:rsidR="00CB756C" w:rsidRPr="00B039E2" w:rsidRDefault="00CB756C" w:rsidP="00CB756C">
      <w:pPr>
        <w:ind w:left="284" w:hanging="284"/>
        <w:rPr>
          <w:rFonts w:cs="Times New Roman"/>
        </w:rPr>
      </w:pPr>
      <w:r w:rsidRPr="00B039E2">
        <w:rPr>
          <w:rFonts w:cs="Times New Roman"/>
        </w:rPr>
        <w:t xml:space="preserve">SLG Economics (Gibson Report; August 2014), Standardised Packaging of Tobacco Products, Review of Department of Health Impact Assessment (Appendix 1 to BAT’s response to the UK Department of Health’s 2014 consultation in relation to plain packaging) </w:t>
      </w:r>
    </w:p>
    <w:p w:rsidR="00CB756C" w:rsidRPr="00B039E2" w:rsidRDefault="00CB756C" w:rsidP="00CB756C">
      <w:pPr>
        <w:ind w:left="284" w:hanging="284"/>
        <w:rPr>
          <w:rFonts w:cs="Times New Roman"/>
        </w:rPr>
      </w:pPr>
      <w:proofErr w:type="gramStart"/>
      <w:r w:rsidRPr="00B039E2">
        <w:rPr>
          <w:rFonts w:cs="Times New Roman"/>
        </w:rPr>
        <w:t>SLG Economics (Gibson Report; January 2015), Standardised Packaging of Tobacco Products, Review of Department of Health Impact Assessment (Supplement including updated CITTS data).</w:t>
      </w:r>
      <w:proofErr w:type="gramEnd"/>
      <w:r w:rsidRPr="00B039E2">
        <w:rPr>
          <w:rFonts w:cs="Times New Roman"/>
        </w:rPr>
        <w:t xml:space="preserve"> </w:t>
      </w:r>
    </w:p>
    <w:p w:rsidR="00CB756C" w:rsidRPr="003C0ABC" w:rsidRDefault="00CB756C" w:rsidP="00CB756C">
      <w:pPr>
        <w:ind w:left="284" w:hanging="284"/>
        <w:rPr>
          <w:rFonts w:cs="Times New Roman"/>
        </w:rPr>
      </w:pPr>
      <w:r w:rsidRPr="00B039E2">
        <w:rPr>
          <w:rFonts w:cs="Times New Roman"/>
        </w:rPr>
        <w:t>SLG Economics (June 2015). Review of Evidence on the introduction of Plain Packaging of Tobacco Products in Australia. United Kingdom SLG Economics Ltd.</w:t>
      </w:r>
    </w:p>
    <w:p w:rsidR="00CB756C" w:rsidRPr="003C0ABC" w:rsidRDefault="00CB756C" w:rsidP="00CB756C">
      <w:pPr>
        <w:ind w:left="284" w:hanging="284"/>
        <w:rPr>
          <w:rFonts w:cs="Times New Roman"/>
        </w:rPr>
      </w:pPr>
      <w:r w:rsidRPr="003C0ABC">
        <w:rPr>
          <w:rFonts w:cs="Times New Roman"/>
        </w:rPr>
        <w:t xml:space="preserve">Wakefield M, </w:t>
      </w:r>
      <w:proofErr w:type="spellStart"/>
      <w:r w:rsidRPr="003C0ABC">
        <w:rPr>
          <w:rFonts w:cs="Times New Roman"/>
        </w:rPr>
        <w:t>Coomber</w:t>
      </w:r>
      <w:proofErr w:type="spellEnd"/>
      <w:r w:rsidRPr="003C0ABC">
        <w:rPr>
          <w:rFonts w:cs="Times New Roman"/>
        </w:rPr>
        <w:t xml:space="preserve"> K, </w:t>
      </w:r>
      <w:proofErr w:type="spellStart"/>
      <w:r w:rsidRPr="003C0ABC">
        <w:rPr>
          <w:rFonts w:cs="Times New Roman"/>
        </w:rPr>
        <w:t>Zacher</w:t>
      </w:r>
      <w:proofErr w:type="spellEnd"/>
      <w:r w:rsidRPr="003C0ABC">
        <w:rPr>
          <w:rFonts w:cs="Times New Roman"/>
        </w:rPr>
        <w:t xml:space="preserve"> M, Durkin S, Brennan E, </w:t>
      </w:r>
      <w:proofErr w:type="spellStart"/>
      <w:r w:rsidRPr="003C0ABC">
        <w:rPr>
          <w:rFonts w:cs="Times New Roman"/>
        </w:rPr>
        <w:t>Scollo</w:t>
      </w:r>
      <w:proofErr w:type="spellEnd"/>
      <w:r w:rsidRPr="003C0ABC">
        <w:rPr>
          <w:rFonts w:cs="Times New Roman"/>
        </w:rPr>
        <w:t xml:space="preserve"> M. (2015) Australian adult smokers’ responses to plain packaging with larger graphic health warnings 1 year after implementation: results from a national cross-sectional tracking survey. Tobacco Control; 24(</w:t>
      </w:r>
      <w:proofErr w:type="spellStart"/>
      <w:r w:rsidRPr="003C0ABC">
        <w:rPr>
          <w:rFonts w:cs="Times New Roman"/>
        </w:rPr>
        <w:t>Suppl</w:t>
      </w:r>
      <w:proofErr w:type="spellEnd"/>
      <w:r w:rsidRPr="003C0ABC">
        <w:rPr>
          <w:rFonts w:cs="Times New Roman"/>
        </w:rPr>
        <w:t xml:space="preserve"> 2): ii17-ii25. </w:t>
      </w:r>
    </w:p>
    <w:p w:rsidR="00CB756C" w:rsidRPr="003C0ABC" w:rsidRDefault="00CB756C" w:rsidP="00CB756C">
      <w:pPr>
        <w:ind w:left="284" w:hanging="284"/>
        <w:rPr>
          <w:rFonts w:cs="Times New Roman"/>
        </w:rPr>
      </w:pPr>
      <w:proofErr w:type="gramStart"/>
      <w:r w:rsidRPr="003C0ABC">
        <w:rPr>
          <w:rFonts w:cs="Times New Roman"/>
        </w:rPr>
        <w:t>Wakefield M, Hayes L, Durkin S, Borland R (2013).</w:t>
      </w:r>
      <w:proofErr w:type="gramEnd"/>
      <w:r w:rsidRPr="003C0ABC">
        <w:rPr>
          <w:rFonts w:cs="Times New Roman"/>
        </w:rPr>
        <w:t xml:space="preserve"> Introduction effects of the Australian plain packaging policy on adult smokers: a cross sectional study. BMJ open, 3(7): p. 1-9.</w:t>
      </w:r>
    </w:p>
    <w:p w:rsidR="00CB756C" w:rsidRPr="003C0ABC" w:rsidRDefault="00CB756C" w:rsidP="00CB756C">
      <w:pPr>
        <w:ind w:left="284" w:hanging="284"/>
        <w:rPr>
          <w:rFonts w:cs="Times New Roman"/>
        </w:rPr>
      </w:pPr>
      <w:r w:rsidRPr="003C0ABC">
        <w:rPr>
          <w:rFonts w:cs="Times New Roman"/>
        </w:rPr>
        <w:t xml:space="preserve">Wakefield M, </w:t>
      </w:r>
      <w:proofErr w:type="spellStart"/>
      <w:r w:rsidRPr="003C0ABC">
        <w:rPr>
          <w:rFonts w:cs="Times New Roman"/>
        </w:rPr>
        <w:t>Zacher</w:t>
      </w:r>
      <w:proofErr w:type="spellEnd"/>
      <w:r w:rsidRPr="003C0ABC">
        <w:rPr>
          <w:rFonts w:cs="Times New Roman"/>
        </w:rPr>
        <w:t xml:space="preserve"> M, </w:t>
      </w:r>
      <w:proofErr w:type="spellStart"/>
      <w:r w:rsidRPr="003C0ABC">
        <w:rPr>
          <w:rFonts w:cs="Times New Roman"/>
        </w:rPr>
        <w:t>Bayly</w:t>
      </w:r>
      <w:proofErr w:type="spellEnd"/>
      <w:r w:rsidRPr="003C0ABC">
        <w:rPr>
          <w:rFonts w:cs="Times New Roman"/>
        </w:rPr>
        <w:t xml:space="preserve"> M, Brennan E, </w:t>
      </w:r>
      <w:proofErr w:type="spellStart"/>
      <w:r w:rsidRPr="003C0ABC">
        <w:rPr>
          <w:rFonts w:cs="Times New Roman"/>
        </w:rPr>
        <w:t>Dono</w:t>
      </w:r>
      <w:proofErr w:type="spellEnd"/>
      <w:r w:rsidRPr="003C0ABC">
        <w:rPr>
          <w:rFonts w:cs="Times New Roman"/>
        </w:rPr>
        <w:t xml:space="preserve"> J, Miller C, Durkin S, </w:t>
      </w:r>
      <w:proofErr w:type="spellStart"/>
      <w:r w:rsidRPr="003C0ABC">
        <w:rPr>
          <w:rFonts w:cs="Times New Roman"/>
        </w:rPr>
        <w:t>Scollo</w:t>
      </w:r>
      <w:proofErr w:type="spellEnd"/>
      <w:r w:rsidRPr="003C0ABC">
        <w:rPr>
          <w:rFonts w:cs="Times New Roman"/>
        </w:rPr>
        <w:t xml:space="preserve"> M. (2014) The silent salesman: An observational study of personal tobacco pack display at outdoor café strips in Australia. Tobacco Control; 23(4): 339-44.</w:t>
      </w:r>
    </w:p>
    <w:p w:rsidR="00CB756C" w:rsidRPr="003C0ABC" w:rsidRDefault="00CB756C" w:rsidP="00CB756C">
      <w:pPr>
        <w:ind w:left="284" w:hanging="284"/>
        <w:rPr>
          <w:rFonts w:cs="Times New Roman"/>
        </w:rPr>
      </w:pPr>
      <w:r w:rsidRPr="003C0ABC">
        <w:rPr>
          <w:rFonts w:cs="Times New Roman"/>
        </w:rPr>
        <w:t xml:space="preserve">White V, Williams T, Faulkner A, Wakefield M (2015a). Do larger graphic health warnings on standardised cigarette packs increase adolescents’ cognitive processing of consumer health information and beliefs about smoking-related harms? </w:t>
      </w:r>
      <w:proofErr w:type="gramStart"/>
      <w:r w:rsidRPr="003C0ABC">
        <w:rPr>
          <w:rFonts w:cs="Times New Roman"/>
        </w:rPr>
        <w:t>Tobacco Control, 24 (</w:t>
      </w:r>
      <w:proofErr w:type="spellStart"/>
      <w:r w:rsidRPr="003C0ABC">
        <w:rPr>
          <w:rFonts w:cs="Times New Roman"/>
        </w:rPr>
        <w:t>Suppl</w:t>
      </w:r>
      <w:proofErr w:type="spellEnd"/>
      <w:r w:rsidRPr="003C0ABC">
        <w:rPr>
          <w:rFonts w:cs="Times New Roman"/>
        </w:rPr>
        <w:t xml:space="preserve"> 2).</w:t>
      </w:r>
      <w:proofErr w:type="gramEnd"/>
      <w:r w:rsidRPr="003C0ABC">
        <w:rPr>
          <w:rFonts w:cs="Times New Roman"/>
        </w:rPr>
        <w:t xml:space="preserve"> </w:t>
      </w:r>
      <w:proofErr w:type="gramStart"/>
      <w:r w:rsidRPr="003C0ABC">
        <w:rPr>
          <w:rFonts w:cs="Times New Roman"/>
        </w:rPr>
        <w:t>p</w:t>
      </w:r>
      <w:proofErr w:type="gramEnd"/>
      <w:r w:rsidRPr="003C0ABC">
        <w:rPr>
          <w:rFonts w:cs="Times New Roman"/>
        </w:rPr>
        <w:t>. ii50-ii57</w:t>
      </w:r>
    </w:p>
    <w:p w:rsidR="00CB756C" w:rsidRPr="003C0ABC" w:rsidRDefault="00CB756C" w:rsidP="00CB756C">
      <w:pPr>
        <w:ind w:left="284" w:hanging="284"/>
        <w:rPr>
          <w:rFonts w:cs="Times New Roman"/>
        </w:rPr>
      </w:pPr>
      <w:r w:rsidRPr="003C0ABC">
        <w:rPr>
          <w:rFonts w:cs="Times New Roman"/>
        </w:rPr>
        <w:t>White V, Williams T, Wakefield M (2015b). Has the introduction of plain packaging with larger graphic health warnings changed adolescents’ perceptions of cigarette packs and brands? Tobacco Control 2015; 24(</w:t>
      </w:r>
      <w:proofErr w:type="spellStart"/>
      <w:r w:rsidRPr="003C0ABC">
        <w:rPr>
          <w:rFonts w:cs="Times New Roman"/>
        </w:rPr>
        <w:t>Suppl</w:t>
      </w:r>
      <w:proofErr w:type="spellEnd"/>
      <w:r w:rsidRPr="003C0ABC">
        <w:rPr>
          <w:rFonts w:cs="Times New Roman"/>
        </w:rPr>
        <w:t xml:space="preserve"> 2): ii41-ii9.)</w:t>
      </w:r>
    </w:p>
    <w:p w:rsidR="00CB756C" w:rsidRPr="003C0ABC" w:rsidRDefault="00CB756C" w:rsidP="00CB756C">
      <w:pPr>
        <w:ind w:left="284" w:hanging="284"/>
        <w:rPr>
          <w:rFonts w:cs="Times New Roman"/>
        </w:rPr>
      </w:pPr>
      <w:r w:rsidRPr="003C0ABC">
        <w:rPr>
          <w:rFonts w:cs="Times New Roman"/>
        </w:rPr>
        <w:t xml:space="preserve">Yong H-H, Borland R, Hammond D, Thrasher JF, Cummings KM, et al. Smokers’ reactions to the new larger health warning labels on plain cigarette packs in Australia: findings from </w:t>
      </w:r>
      <w:r w:rsidRPr="003C0ABC">
        <w:rPr>
          <w:rFonts w:cs="Times New Roman"/>
        </w:rPr>
        <w:lastRenderedPageBreak/>
        <w:t xml:space="preserve">the ITC Australia project. </w:t>
      </w:r>
      <w:proofErr w:type="gramStart"/>
      <w:r w:rsidRPr="003C0ABC">
        <w:rPr>
          <w:rFonts w:cs="Times New Roman"/>
        </w:rPr>
        <w:t>Tobacco Control, 2015.</w:t>
      </w:r>
      <w:proofErr w:type="gramEnd"/>
      <w:r w:rsidRPr="003C0ABC">
        <w:rPr>
          <w:rFonts w:cs="Times New Roman"/>
        </w:rPr>
        <w:t xml:space="preserve"> Published Online First: 19.02.2015 </w:t>
      </w:r>
      <w:proofErr w:type="spellStart"/>
      <w:r w:rsidRPr="003C0ABC">
        <w:rPr>
          <w:rFonts w:cs="Times New Roman"/>
        </w:rPr>
        <w:t>doi</w:t>
      </w:r>
      <w:proofErr w:type="spellEnd"/>
      <w:r w:rsidRPr="003C0ABC">
        <w:rPr>
          <w:rFonts w:cs="Times New Roman"/>
        </w:rPr>
        <w:t>: 10.1136/tobaccocontrol-2014-051979.</w:t>
      </w:r>
    </w:p>
    <w:p w:rsidR="00CB756C" w:rsidRPr="003C0ABC" w:rsidRDefault="00CB756C" w:rsidP="00CB756C">
      <w:pPr>
        <w:ind w:left="284" w:hanging="284"/>
        <w:rPr>
          <w:rFonts w:cs="Times New Roman"/>
        </w:rPr>
      </w:pPr>
      <w:r w:rsidRPr="003C0ABC">
        <w:rPr>
          <w:rFonts w:cs="Times New Roman"/>
        </w:rPr>
        <w:t xml:space="preserve">Young J, Stacey I, Dobbins T, Dunlop S, </w:t>
      </w:r>
      <w:proofErr w:type="spellStart"/>
      <w:r w:rsidRPr="003C0ABC">
        <w:rPr>
          <w:rFonts w:cs="Times New Roman"/>
        </w:rPr>
        <w:t>Dessaix</w:t>
      </w:r>
      <w:proofErr w:type="spellEnd"/>
      <w:r w:rsidRPr="003C0ABC">
        <w:rPr>
          <w:rFonts w:cs="Times New Roman"/>
        </w:rPr>
        <w:t xml:space="preserve"> A, </w:t>
      </w:r>
      <w:proofErr w:type="spellStart"/>
      <w:r w:rsidRPr="003C0ABC">
        <w:rPr>
          <w:rFonts w:cs="Times New Roman"/>
        </w:rPr>
        <w:t>Currow</w:t>
      </w:r>
      <w:proofErr w:type="spellEnd"/>
      <w:r w:rsidRPr="003C0ABC">
        <w:rPr>
          <w:rFonts w:cs="Times New Roman"/>
        </w:rPr>
        <w:t xml:space="preserve"> D (2014). Association between tobacco plain packaging and Quitline calls: a population-based, interrupted time-series analysis. MJA 200(1): 29-32</w:t>
      </w:r>
    </w:p>
    <w:p w:rsidR="00CB756C" w:rsidRPr="003C0ABC" w:rsidRDefault="00CB756C" w:rsidP="00CB756C">
      <w:pPr>
        <w:ind w:left="284" w:hanging="284"/>
        <w:rPr>
          <w:rFonts w:cs="Times New Roman"/>
        </w:rPr>
      </w:pPr>
      <w:proofErr w:type="spellStart"/>
      <w:r w:rsidRPr="003C0ABC">
        <w:rPr>
          <w:rFonts w:cs="Times New Roman"/>
        </w:rPr>
        <w:t>Zacher</w:t>
      </w:r>
      <w:proofErr w:type="spellEnd"/>
      <w:r w:rsidRPr="003C0ABC">
        <w:rPr>
          <w:rFonts w:cs="Times New Roman"/>
        </w:rPr>
        <w:t xml:space="preserve"> M, </w:t>
      </w:r>
      <w:proofErr w:type="spellStart"/>
      <w:r w:rsidRPr="003C0ABC">
        <w:rPr>
          <w:rFonts w:cs="Times New Roman"/>
        </w:rPr>
        <w:t>Bayly</w:t>
      </w:r>
      <w:proofErr w:type="spellEnd"/>
      <w:r w:rsidRPr="003C0ABC">
        <w:rPr>
          <w:rFonts w:cs="Times New Roman"/>
        </w:rPr>
        <w:t xml:space="preserve"> M, Brennan E, </w:t>
      </w:r>
      <w:proofErr w:type="spellStart"/>
      <w:r w:rsidRPr="003C0ABC">
        <w:rPr>
          <w:rFonts w:cs="Times New Roman"/>
        </w:rPr>
        <w:t>Dono</w:t>
      </w:r>
      <w:proofErr w:type="spellEnd"/>
      <w:r w:rsidRPr="003C0ABC">
        <w:rPr>
          <w:rFonts w:cs="Times New Roman"/>
        </w:rPr>
        <w:t xml:space="preserve"> J, Miller C, Durkin S, </w:t>
      </w:r>
      <w:proofErr w:type="spellStart"/>
      <w:r w:rsidRPr="003C0ABC">
        <w:rPr>
          <w:rFonts w:cs="Times New Roman"/>
        </w:rPr>
        <w:t>Scollo</w:t>
      </w:r>
      <w:proofErr w:type="spellEnd"/>
      <w:r w:rsidRPr="003C0ABC">
        <w:rPr>
          <w:rFonts w:cs="Times New Roman"/>
        </w:rPr>
        <w:t xml:space="preserve"> M, Wakefield M (2014). Personal tobacco pack display before and after the introduction of plain packaging with larger pictorial health warnings in Australia: an observational study of outdoor café strips. Addiction, 109(4):653-62.</w:t>
      </w:r>
    </w:p>
    <w:p w:rsidR="00CB756C" w:rsidRPr="003C0ABC" w:rsidRDefault="00CB756C" w:rsidP="00CB756C">
      <w:pPr>
        <w:ind w:left="284" w:hanging="284"/>
        <w:rPr>
          <w:rFonts w:cs="Times New Roman"/>
          <w:lang w:eastAsia="en-AU"/>
        </w:rPr>
      </w:pPr>
      <w:proofErr w:type="spellStart"/>
      <w:r w:rsidRPr="003C0ABC">
        <w:rPr>
          <w:rFonts w:cs="Times New Roman"/>
        </w:rPr>
        <w:t>Zacher</w:t>
      </w:r>
      <w:proofErr w:type="spellEnd"/>
      <w:r w:rsidRPr="003C0ABC">
        <w:rPr>
          <w:rFonts w:cs="Times New Roman"/>
        </w:rPr>
        <w:t xml:space="preserve"> M, </w:t>
      </w:r>
      <w:proofErr w:type="spellStart"/>
      <w:r w:rsidRPr="003C0ABC">
        <w:rPr>
          <w:rFonts w:cs="Times New Roman"/>
        </w:rPr>
        <w:t>Bayly</w:t>
      </w:r>
      <w:proofErr w:type="spellEnd"/>
      <w:r w:rsidRPr="003C0ABC">
        <w:rPr>
          <w:rFonts w:cs="Times New Roman"/>
        </w:rPr>
        <w:t xml:space="preserve"> M, Brennan E, </w:t>
      </w:r>
      <w:proofErr w:type="spellStart"/>
      <w:r w:rsidRPr="003C0ABC">
        <w:rPr>
          <w:rFonts w:cs="Times New Roman"/>
        </w:rPr>
        <w:t>Dono</w:t>
      </w:r>
      <w:proofErr w:type="spellEnd"/>
      <w:r w:rsidRPr="003C0ABC">
        <w:rPr>
          <w:rFonts w:cs="Times New Roman"/>
        </w:rPr>
        <w:t xml:space="preserve"> J, Miller C, Durkin S, </w:t>
      </w:r>
      <w:proofErr w:type="spellStart"/>
      <w:r w:rsidRPr="003C0ABC">
        <w:rPr>
          <w:rFonts w:cs="Times New Roman"/>
        </w:rPr>
        <w:t>Scollo</w:t>
      </w:r>
      <w:proofErr w:type="spellEnd"/>
      <w:r w:rsidRPr="003C0ABC">
        <w:rPr>
          <w:rFonts w:cs="Times New Roman"/>
        </w:rPr>
        <w:t xml:space="preserve"> M, Wakefield M (2015). Personal pack display and active smoking at outdoor café strips: assessing the impact of plain packaging 1 year post-implementation. Tobacco Control, 24(</w:t>
      </w:r>
      <w:proofErr w:type="spellStart"/>
      <w:r w:rsidRPr="003C0ABC">
        <w:rPr>
          <w:rFonts w:cs="Times New Roman"/>
        </w:rPr>
        <w:t>Suppl</w:t>
      </w:r>
      <w:proofErr w:type="spellEnd"/>
      <w:r w:rsidRPr="003C0ABC">
        <w:rPr>
          <w:rFonts w:cs="Times New Roman"/>
        </w:rPr>
        <w:t xml:space="preserve"> 2)</w:t>
      </w:r>
      <w:bookmarkEnd w:id="165"/>
      <w:bookmarkEnd w:id="166"/>
      <w:bookmarkEnd w:id="167"/>
      <w:bookmarkEnd w:id="168"/>
    </w:p>
    <w:p w:rsidR="00CA5171" w:rsidRDefault="00CA5171">
      <w:pPr>
        <w:tabs>
          <w:tab w:val="clear" w:pos="357"/>
        </w:tabs>
        <w:spacing w:before="0" w:after="0"/>
      </w:pPr>
      <w:r>
        <w:br w:type="page"/>
      </w:r>
    </w:p>
    <w:p w:rsidR="00CB756C" w:rsidRDefault="00CA5171" w:rsidP="00CB756C">
      <w:pPr>
        <w:pStyle w:val="BulletPoints"/>
        <w:numPr>
          <w:ilvl w:val="0"/>
          <w:numId w:val="0"/>
        </w:numPr>
        <w:ind w:left="357" w:hanging="357"/>
      </w:pPr>
      <w:r w:rsidRPr="004D09FB">
        <w:rPr>
          <w:b/>
          <w:noProof/>
          <w:color w:val="FFFFFF"/>
          <w:sz w:val="48"/>
          <w:szCs w:val="48"/>
          <w:lang w:eastAsia="en-AU"/>
        </w:rPr>
        <w:lastRenderedPageBreak/>
        <w:drawing>
          <wp:anchor distT="0" distB="0" distL="114300" distR="114300" simplePos="0" relativeHeight="251664384" behindDoc="1" locked="0" layoutInCell="1" allowOverlap="1" wp14:anchorId="1A3D89FF" wp14:editId="45E3B3D5">
            <wp:simplePos x="0" y="0"/>
            <wp:positionH relativeFrom="column">
              <wp:posOffset>-1089025</wp:posOffset>
            </wp:positionH>
            <wp:positionV relativeFrom="paragraph">
              <wp:posOffset>-914068</wp:posOffset>
            </wp:positionV>
            <wp:extent cx="8029575" cy="3562350"/>
            <wp:effectExtent l="0" t="0" r="9525" b="0"/>
            <wp:wrapNone/>
            <wp:docPr id="11" name="Picture 11" descr="Siggins-Miller_report-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iggins-Miller_report-cove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29575" cy="3562350"/>
                    </a:xfrm>
                    <a:prstGeom prst="rect">
                      <a:avLst/>
                    </a:prstGeom>
                    <a:noFill/>
                  </pic:spPr>
                </pic:pic>
              </a:graphicData>
            </a:graphic>
            <wp14:sizeRelH relativeFrom="page">
              <wp14:pctWidth>0</wp14:pctWidth>
            </wp14:sizeRelH>
            <wp14:sizeRelV relativeFrom="page">
              <wp14:pctHeight>0</wp14:pctHeight>
            </wp14:sizeRelV>
          </wp:anchor>
        </w:drawing>
      </w:r>
    </w:p>
    <w:p w:rsidR="00CB756C" w:rsidRDefault="00CB756C" w:rsidP="00CB756C">
      <w:pPr>
        <w:pStyle w:val="BulletPoints"/>
        <w:numPr>
          <w:ilvl w:val="0"/>
          <w:numId w:val="0"/>
        </w:numPr>
        <w:ind w:left="357" w:hanging="357"/>
      </w:pPr>
    </w:p>
    <w:p w:rsidR="00CB756C" w:rsidRPr="00E05C19" w:rsidRDefault="00CB756C" w:rsidP="00D3639E">
      <w:pPr>
        <w:pStyle w:val="BulletPoints"/>
        <w:numPr>
          <w:ilvl w:val="0"/>
          <w:numId w:val="0"/>
        </w:numPr>
        <w:spacing w:before="0" w:after="3000"/>
      </w:pPr>
      <w:r w:rsidRPr="004D09FB">
        <w:rPr>
          <w:b/>
          <w:color w:val="FFFFFF"/>
          <w:sz w:val="48"/>
          <w:szCs w:val="48"/>
        </w:rPr>
        <w:t>Consultancy services to inform the development of a Post Implementation Review of the tobacco plain packaging measure</w:t>
      </w:r>
    </w:p>
    <w:p w:rsidR="00CB756C" w:rsidRPr="00CB756C" w:rsidRDefault="00CB756C" w:rsidP="00D3639E">
      <w:pPr>
        <w:pStyle w:val="Heading1"/>
        <w:spacing w:before="0"/>
        <w:rPr>
          <w:color w:val="C00000"/>
        </w:rPr>
      </w:pPr>
      <w:bookmarkStart w:id="169" w:name="_Toc444007963"/>
      <w:r w:rsidRPr="00CB756C">
        <w:rPr>
          <w:color w:val="C00000"/>
        </w:rPr>
        <w:t>Final Report Appendix 3</w:t>
      </w:r>
      <w:bookmarkEnd w:id="169"/>
    </w:p>
    <w:p w:rsidR="00CB756C" w:rsidRPr="009E5945" w:rsidRDefault="00CB756C" w:rsidP="00CB756C">
      <w:pPr>
        <w:pStyle w:val="NoSpacing"/>
        <w:rPr>
          <w:rStyle w:val="IntenseEmphasis"/>
          <w:b w:val="0"/>
          <w:sz w:val="24"/>
          <w:szCs w:val="24"/>
        </w:rPr>
      </w:pPr>
      <w:r w:rsidRPr="009E5945">
        <w:rPr>
          <w:rStyle w:val="IntenseEmphasis"/>
          <w:b w:val="0"/>
          <w:sz w:val="24"/>
          <w:szCs w:val="24"/>
        </w:rPr>
        <w:t>Consultation Paper</w:t>
      </w:r>
    </w:p>
    <w:p w:rsidR="00CA5171" w:rsidRDefault="00CA5171" w:rsidP="009E5945">
      <w:pPr>
        <w:pStyle w:val="Subtitle"/>
        <w:rPr>
          <w:rStyle w:val="IntenseEmphasis"/>
          <w:rFonts w:cs="Arial"/>
          <w:b/>
          <w:i w:val="0"/>
          <w:color w:val="C00000"/>
          <w:spacing w:val="0"/>
        </w:rPr>
      </w:pPr>
    </w:p>
    <w:p w:rsidR="00CB756C" w:rsidRPr="009E5945" w:rsidRDefault="00CB756C" w:rsidP="009E5945">
      <w:pPr>
        <w:pStyle w:val="Subtitle"/>
        <w:rPr>
          <w:rStyle w:val="IntenseEmphasis"/>
          <w:rFonts w:cs="Arial"/>
          <w:b/>
          <w:i w:val="0"/>
          <w:color w:val="C00000"/>
          <w:spacing w:val="0"/>
        </w:rPr>
      </w:pPr>
      <w:r w:rsidRPr="009E5945">
        <w:rPr>
          <w:rStyle w:val="IntenseEmphasis"/>
          <w:rFonts w:cs="Arial"/>
          <w:b/>
          <w:i w:val="0"/>
          <w:color w:val="C00000"/>
          <w:spacing w:val="0"/>
        </w:rPr>
        <w:t>September, 2015</w:t>
      </w:r>
    </w:p>
    <w:p w:rsidR="00CB756C" w:rsidRDefault="00CB756C" w:rsidP="00CB756C">
      <w:r w:rsidRPr="003946D1">
        <w:rPr>
          <w:noProof/>
          <w:lang w:eastAsia="en-AU"/>
        </w:rPr>
        <w:drawing>
          <wp:anchor distT="0" distB="0" distL="114300" distR="114300" simplePos="0" relativeHeight="251665408" behindDoc="0" locked="0" layoutInCell="1" allowOverlap="1" wp14:anchorId="4B76D50F" wp14:editId="28D882C2">
            <wp:simplePos x="0" y="0"/>
            <wp:positionH relativeFrom="column">
              <wp:posOffset>4000500</wp:posOffset>
            </wp:positionH>
            <wp:positionV relativeFrom="paragraph">
              <wp:posOffset>4904740</wp:posOffset>
            </wp:positionV>
            <wp:extent cx="1914525" cy="584200"/>
            <wp:effectExtent l="0" t="0" r="9525" b="6350"/>
            <wp:wrapNone/>
            <wp:docPr id="12" name="Picture 12" descr="Siggins Mill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escription: SM_Logo"/>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14525" cy="58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2A38">
        <w:br w:type="page"/>
      </w:r>
    </w:p>
    <w:p w:rsidR="00CB756C" w:rsidRDefault="00CB756C" w:rsidP="00CB756C">
      <w:pPr>
        <w:pStyle w:val="Heading1"/>
        <w:sectPr w:rsidR="00CB756C">
          <w:footerReference w:type="first" r:id="rId39"/>
          <w:pgSz w:w="11906" w:h="16838"/>
          <w:pgMar w:top="1440" w:right="1440" w:bottom="1440" w:left="1440" w:header="708" w:footer="708" w:gutter="0"/>
          <w:cols w:space="708"/>
          <w:docGrid w:linePitch="360"/>
        </w:sectPr>
      </w:pPr>
    </w:p>
    <w:p w:rsidR="00CB756C" w:rsidRPr="00997B92" w:rsidRDefault="00CB756C" w:rsidP="00CB756C">
      <w:pPr>
        <w:pStyle w:val="Title"/>
        <w:jc w:val="left"/>
        <w:rPr>
          <w:highlight w:val="yellow"/>
        </w:rPr>
      </w:pPr>
      <w:r w:rsidRPr="00997B92">
        <w:rPr>
          <w:noProof/>
          <w:highlight w:val="yellow"/>
          <w:lang w:eastAsia="en-AU"/>
        </w:rPr>
        <w:lastRenderedPageBreak/>
        <w:drawing>
          <wp:anchor distT="0" distB="0" distL="114300" distR="114300" simplePos="0" relativeHeight="251666432" behindDoc="1" locked="0" layoutInCell="1" allowOverlap="1" wp14:anchorId="151D0BF2" wp14:editId="165FF0A0">
            <wp:simplePos x="0" y="0"/>
            <wp:positionH relativeFrom="column">
              <wp:posOffset>-1247775</wp:posOffset>
            </wp:positionH>
            <wp:positionV relativeFrom="paragraph">
              <wp:posOffset>-954405</wp:posOffset>
            </wp:positionV>
            <wp:extent cx="8029575" cy="3562350"/>
            <wp:effectExtent l="0" t="0" r="9525" b="0"/>
            <wp:wrapNone/>
            <wp:docPr id="21" name="Picture 21" descr="Siggins-Miller report-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iggins-Miller_report-cove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29575" cy="3562350"/>
                    </a:xfrm>
                    <a:prstGeom prst="rect">
                      <a:avLst/>
                    </a:prstGeom>
                    <a:noFill/>
                  </pic:spPr>
                </pic:pic>
              </a:graphicData>
            </a:graphic>
            <wp14:sizeRelH relativeFrom="page">
              <wp14:pctWidth>0</wp14:pctWidth>
            </wp14:sizeRelH>
            <wp14:sizeRelV relativeFrom="page">
              <wp14:pctHeight>0</wp14:pctHeight>
            </wp14:sizeRelV>
          </wp:anchor>
        </w:drawing>
      </w:r>
      <w:r w:rsidRPr="00997B92">
        <w:t>Consultancy services to inform the development of a Post Implementation Review of the tobacco plain packaging measure</w:t>
      </w:r>
    </w:p>
    <w:p w:rsidR="00CB756C" w:rsidRDefault="00CB756C" w:rsidP="00CB756C">
      <w:pPr>
        <w:pStyle w:val="Subtitle"/>
        <w:rPr>
          <w:lang w:eastAsia="en-AU"/>
        </w:rPr>
      </w:pPr>
      <w:r w:rsidRPr="00D05909">
        <w:rPr>
          <w:lang w:eastAsia="en-AU"/>
        </w:rPr>
        <w:t>Consultation Paper</w:t>
      </w:r>
    </w:p>
    <w:p w:rsidR="00CB756C" w:rsidRPr="00E7750E" w:rsidRDefault="00CB756C" w:rsidP="00CB756C">
      <w:pPr>
        <w:pStyle w:val="Subtitle"/>
        <w:spacing w:before="600"/>
        <w:rPr>
          <w:rStyle w:val="IntenseEmphasis"/>
          <w:b/>
          <w:bCs/>
          <w:iCs/>
          <w:sz w:val="32"/>
        </w:rPr>
      </w:pPr>
      <w:r w:rsidRPr="00E7750E">
        <w:rPr>
          <w:rStyle w:val="IntenseEmphasis"/>
          <w:iCs/>
          <w:sz w:val="32"/>
        </w:rPr>
        <w:t>APPROVED February, 2015</w:t>
      </w:r>
    </w:p>
    <w:p w:rsidR="00CB756C" w:rsidRDefault="00CB756C" w:rsidP="00CB756C">
      <w:pPr>
        <w:rPr>
          <w:noProof/>
          <w:highlight w:val="yellow"/>
          <w:lang w:eastAsia="en-AU"/>
        </w:rPr>
      </w:pPr>
    </w:p>
    <w:p w:rsidR="004D09FB" w:rsidRDefault="004D09FB">
      <w:pPr>
        <w:tabs>
          <w:tab w:val="clear" w:pos="357"/>
        </w:tabs>
        <w:spacing w:before="0" w:after="0"/>
        <w:rPr>
          <w:noProof/>
          <w:highlight w:val="yellow"/>
          <w:lang w:eastAsia="en-AU"/>
        </w:rPr>
      </w:pPr>
      <w:r>
        <w:rPr>
          <w:noProof/>
          <w:highlight w:val="yellow"/>
          <w:lang w:eastAsia="en-AU"/>
        </w:rPr>
        <w:br w:type="page"/>
      </w:r>
    </w:p>
    <w:p w:rsidR="00CB756C" w:rsidRPr="00997B92" w:rsidRDefault="00CB756C" w:rsidP="00CB756C">
      <w:pPr>
        <w:rPr>
          <w:highlight w:val="yellow"/>
        </w:rPr>
        <w:sectPr w:rsidR="00CB756C" w:rsidRPr="00997B92" w:rsidSect="00D3639E">
          <w:headerReference w:type="even" r:id="rId40"/>
          <w:headerReference w:type="default" r:id="rId41"/>
          <w:footerReference w:type="default" r:id="rId42"/>
          <w:headerReference w:type="first" r:id="rId43"/>
          <w:pgSz w:w="11906" w:h="16838"/>
          <w:pgMar w:top="1440" w:right="1440" w:bottom="1440" w:left="1440" w:header="708" w:footer="708" w:gutter="0"/>
          <w:cols w:space="708"/>
          <w:docGrid w:linePitch="360"/>
        </w:sectPr>
      </w:pPr>
    </w:p>
    <w:p w:rsidR="00CB756C" w:rsidRPr="00265722" w:rsidRDefault="00CB756C" w:rsidP="00CB756C">
      <w:pPr>
        <w:pStyle w:val="Heading2"/>
        <w:spacing w:after="240"/>
      </w:pPr>
      <w:bookmarkStart w:id="170" w:name="_Toc409528741"/>
      <w:bookmarkStart w:id="171" w:name="_Toc442963144"/>
      <w:bookmarkStart w:id="172" w:name="_Toc444007964"/>
      <w:r w:rsidRPr="00265722">
        <w:lastRenderedPageBreak/>
        <w:t>Consultation paper</w:t>
      </w:r>
      <w:bookmarkEnd w:id="170"/>
      <w:bookmarkEnd w:id="171"/>
      <w:bookmarkEnd w:id="172"/>
    </w:p>
    <w:p w:rsidR="00CB756C" w:rsidRPr="00997B92" w:rsidRDefault="00CB756C" w:rsidP="0018586D">
      <w:pPr>
        <w:pStyle w:val="Heading3"/>
        <w:keepLines/>
        <w:numPr>
          <w:ilvl w:val="0"/>
          <w:numId w:val="21"/>
        </w:numPr>
        <w:spacing w:before="40" w:after="0"/>
        <w:ind w:left="0" w:firstLine="0"/>
        <w:rPr>
          <w:b/>
          <w:bCs w:val="0"/>
        </w:rPr>
      </w:pPr>
      <w:bookmarkStart w:id="173" w:name="_Toc409528742"/>
      <w:bookmarkStart w:id="174" w:name="_Toc442963145"/>
      <w:r w:rsidRPr="00997B92">
        <w:t>Introduction</w:t>
      </w:r>
      <w:bookmarkEnd w:id="173"/>
      <w:bookmarkEnd w:id="174"/>
    </w:p>
    <w:p w:rsidR="00CB756C" w:rsidRPr="00997B92" w:rsidRDefault="00CB756C" w:rsidP="00CB756C">
      <w:pPr>
        <w:tabs>
          <w:tab w:val="clear" w:pos="357"/>
          <w:tab w:val="left" w:pos="284"/>
        </w:tabs>
        <w:spacing w:before="80" w:after="80"/>
        <w:ind w:right="107"/>
      </w:pPr>
      <w:r w:rsidRPr="00997B92">
        <w:t xml:space="preserve">This document has been prepared for the Australian Government Department of Health as part of consultancy services to inform the development of a Post Implementation Review (PIR) of the tobacco plain packaging measure. This document presents the consultation paper. </w:t>
      </w:r>
    </w:p>
    <w:p w:rsidR="00CB756C" w:rsidRPr="00997B92" w:rsidRDefault="00CB756C" w:rsidP="00CB756C">
      <w:pPr>
        <w:tabs>
          <w:tab w:val="clear" w:pos="357"/>
          <w:tab w:val="left" w:pos="284"/>
        </w:tabs>
        <w:spacing w:before="80" w:after="80"/>
        <w:ind w:right="107"/>
      </w:pPr>
      <w:r w:rsidRPr="00997B92">
        <w:t>This document has been designed mindful of:</w:t>
      </w:r>
    </w:p>
    <w:p w:rsidR="00CB756C" w:rsidRPr="00997B92" w:rsidRDefault="00CB756C" w:rsidP="0018586D">
      <w:pPr>
        <w:numPr>
          <w:ilvl w:val="0"/>
          <w:numId w:val="15"/>
        </w:numPr>
        <w:spacing w:before="40" w:after="40"/>
        <w:jc w:val="both"/>
        <w:rPr>
          <w:szCs w:val="18"/>
        </w:rPr>
      </w:pPr>
      <w:r w:rsidRPr="00997B92">
        <w:rPr>
          <w:szCs w:val="18"/>
        </w:rPr>
        <w:t>The Australian Government Office of Best Practice Regulation (OBPR) Guide to Regulation</w:t>
      </w:r>
    </w:p>
    <w:p w:rsidR="00CB756C" w:rsidRPr="00997B92" w:rsidRDefault="00CB756C" w:rsidP="0018586D">
      <w:pPr>
        <w:numPr>
          <w:ilvl w:val="0"/>
          <w:numId w:val="15"/>
        </w:numPr>
        <w:spacing w:before="40" w:after="40"/>
        <w:jc w:val="both"/>
        <w:rPr>
          <w:szCs w:val="18"/>
        </w:rPr>
      </w:pPr>
      <w:r w:rsidRPr="00997B92">
        <w:rPr>
          <w:szCs w:val="18"/>
        </w:rPr>
        <w:t>OBPR Guidance Note of 2014 in relation to PIRs</w:t>
      </w:r>
    </w:p>
    <w:p w:rsidR="00CB756C" w:rsidRPr="00997B92" w:rsidRDefault="00CB756C" w:rsidP="0018586D">
      <w:pPr>
        <w:numPr>
          <w:ilvl w:val="0"/>
          <w:numId w:val="15"/>
        </w:numPr>
        <w:spacing w:before="40" w:after="40"/>
        <w:jc w:val="both"/>
        <w:rPr>
          <w:sz w:val="22"/>
          <w:szCs w:val="18"/>
        </w:rPr>
      </w:pPr>
      <w:r w:rsidRPr="00997B92">
        <w:rPr>
          <w:szCs w:val="18"/>
        </w:rPr>
        <w:t>The Guidelines for the implementation of Article 5.3 of the World Health Organisation (WHO) Framework Convention on Tobacco Control (FCTC).</w:t>
      </w:r>
    </w:p>
    <w:p w:rsidR="00CB756C" w:rsidRPr="00997B92" w:rsidRDefault="00CB756C" w:rsidP="00CB756C">
      <w:pPr>
        <w:tabs>
          <w:tab w:val="clear" w:pos="357"/>
          <w:tab w:val="left" w:pos="284"/>
        </w:tabs>
        <w:ind w:right="107"/>
      </w:pPr>
      <w:r w:rsidRPr="00997B92">
        <w:t xml:space="preserve">This document has been refined based on discussions with the Department during stage one of the project. </w:t>
      </w:r>
    </w:p>
    <w:p w:rsidR="00CB756C" w:rsidRDefault="00CB756C" w:rsidP="0018586D">
      <w:pPr>
        <w:pStyle w:val="Heading3"/>
        <w:keepLines/>
        <w:numPr>
          <w:ilvl w:val="0"/>
          <w:numId w:val="22"/>
        </w:numPr>
        <w:spacing w:before="40" w:after="0"/>
        <w:ind w:left="360"/>
      </w:pPr>
      <w:r w:rsidRPr="00997B92">
        <w:br w:type="page"/>
      </w:r>
      <w:bookmarkStart w:id="175" w:name="_Toc409528743"/>
      <w:bookmarkStart w:id="176" w:name="_Toc442963146"/>
      <w:r w:rsidRPr="00997B92">
        <w:lastRenderedPageBreak/>
        <w:t>Consultation paper</w:t>
      </w:r>
      <w:bookmarkStart w:id="177" w:name="_Toc409528744"/>
      <w:bookmarkEnd w:id="175"/>
      <w:bookmarkEnd w:id="176"/>
    </w:p>
    <w:p w:rsidR="00CB756C" w:rsidRPr="00997B92" w:rsidRDefault="00CB756C" w:rsidP="00CB756C">
      <w:pPr>
        <w:pBdr>
          <w:top w:val="single" w:sz="4" w:space="1" w:color="auto"/>
          <w:left w:val="single" w:sz="4" w:space="4" w:color="auto"/>
          <w:bottom w:val="single" w:sz="4" w:space="1" w:color="auto"/>
          <w:right w:val="single" w:sz="4" w:space="4" w:color="auto"/>
        </w:pBdr>
        <w:jc w:val="center"/>
      </w:pPr>
      <w:r>
        <w:t>SIGGINS MILLER WEBSITE</w:t>
      </w:r>
    </w:p>
    <w:p w:rsidR="00CB756C" w:rsidRPr="0006118C" w:rsidRDefault="00CB756C" w:rsidP="00CB756C">
      <w:pPr>
        <w:pBdr>
          <w:top w:val="single" w:sz="4" w:space="1" w:color="auto"/>
          <w:left w:val="single" w:sz="4" w:space="4" w:color="auto"/>
          <w:bottom w:val="single" w:sz="4" w:space="1" w:color="auto"/>
          <w:right w:val="single" w:sz="4" w:space="4" w:color="auto"/>
        </w:pBdr>
        <w:jc w:val="center"/>
      </w:pPr>
      <w:r w:rsidRPr="00997B92">
        <w:t xml:space="preserve">To make an online submission visit - </w:t>
      </w:r>
      <w:r w:rsidRPr="00CE16CA">
        <w:t>www.sigginsmiller.com/plainpackaging</w:t>
      </w:r>
      <w:r>
        <w:t xml:space="preserve"> [This web address is no longer active]</w:t>
      </w:r>
    </w:p>
    <w:p w:rsidR="00CB756C" w:rsidRPr="00997B92" w:rsidRDefault="00CB756C" w:rsidP="00CB756C">
      <w:pPr>
        <w:pStyle w:val="Heading4"/>
      </w:pPr>
      <w:r w:rsidRPr="00997B92">
        <w:t>Tobacco plain packaging</w:t>
      </w:r>
    </w:p>
    <w:p w:rsidR="00CB756C" w:rsidRPr="00997B92" w:rsidRDefault="00CB756C" w:rsidP="00CB756C">
      <w:r w:rsidRPr="00997B92">
        <w:t>The Department of Health has engaged Siggins Miller Consultants Pty Ltd (Siggins Miller) to undertake consultation with stakeholders that have been impacted by the tobacco plain packaging measure and to conduct a cost benefit analysis of the measure, to inform the development of a Pos</w:t>
      </w:r>
      <w:r>
        <w:t>t Implementation Review (PIR).</w:t>
      </w:r>
    </w:p>
    <w:p w:rsidR="00CB756C" w:rsidRPr="00997B92" w:rsidRDefault="00CB756C" w:rsidP="00CB756C">
      <w:r w:rsidRPr="00997B92">
        <w:t>The information collected will inform an analysis of the material impacts of the tobacco plain packaging measure on stakeholders and, where possible, quantify the costs and benefits of the tobacco plain packaging measure.</w:t>
      </w:r>
    </w:p>
    <w:p w:rsidR="00CB756C" w:rsidRPr="00997B92" w:rsidRDefault="00CB756C" w:rsidP="00CB756C">
      <w:pPr>
        <w:pStyle w:val="Heading4"/>
      </w:pPr>
      <w:bookmarkStart w:id="178" w:name="_Toc409528746"/>
      <w:r w:rsidRPr="00997B92">
        <w:t>Why we are consulting</w:t>
      </w:r>
      <w:bookmarkEnd w:id="178"/>
      <w:r w:rsidRPr="00997B92">
        <w:t xml:space="preserve">? </w:t>
      </w:r>
    </w:p>
    <w:p w:rsidR="00CB756C" w:rsidRPr="00997B92" w:rsidRDefault="00CB756C" w:rsidP="00CB756C">
      <w:r w:rsidRPr="00997B92">
        <w:t>The Australian Government Department of Health is required to complete a PIR of the tobacco plain packaging measure in accordance with the requirements of the Australian Government Office of Best Practice Regulation (OBPR). The purpose of a PIR is to assess whether the regulation remains appropriate and how effective and efficient the regulation has been in meeting its objectives. The objectives of the tobacco plain packaging measure are to regulate the retail packaging and appearance of tobacco products in order to:</w:t>
      </w:r>
    </w:p>
    <w:p w:rsidR="00CB756C" w:rsidRPr="00997B92" w:rsidRDefault="00CB756C" w:rsidP="0018586D">
      <w:pPr>
        <w:numPr>
          <w:ilvl w:val="0"/>
          <w:numId w:val="17"/>
        </w:numPr>
        <w:tabs>
          <w:tab w:val="clear" w:pos="357"/>
        </w:tabs>
        <w:ind w:left="284" w:hanging="284"/>
        <w:jc w:val="both"/>
        <w:rPr>
          <w:rFonts w:eastAsia="Calibri"/>
          <w:szCs w:val="22"/>
        </w:rPr>
      </w:pPr>
      <w:r w:rsidRPr="00997B92">
        <w:rPr>
          <w:rFonts w:eastAsia="Calibri"/>
          <w:szCs w:val="22"/>
        </w:rPr>
        <w:t>reduce the appeal of tobacco products to consumers;</w:t>
      </w:r>
    </w:p>
    <w:p w:rsidR="00CB756C" w:rsidRPr="00997B92" w:rsidRDefault="00CB756C" w:rsidP="0018586D">
      <w:pPr>
        <w:numPr>
          <w:ilvl w:val="0"/>
          <w:numId w:val="17"/>
        </w:numPr>
        <w:tabs>
          <w:tab w:val="clear" w:pos="357"/>
        </w:tabs>
        <w:ind w:left="284" w:hanging="284"/>
        <w:jc w:val="both"/>
        <w:rPr>
          <w:rFonts w:eastAsia="Calibri"/>
          <w:szCs w:val="22"/>
        </w:rPr>
      </w:pPr>
      <w:r w:rsidRPr="00997B92">
        <w:rPr>
          <w:rFonts w:eastAsia="Calibri"/>
          <w:szCs w:val="22"/>
        </w:rPr>
        <w:t>increase the effectiveness of health warnings on the retail packaging of tobacco products;</w:t>
      </w:r>
    </w:p>
    <w:p w:rsidR="00CB756C" w:rsidRPr="00997B92" w:rsidRDefault="00CB756C" w:rsidP="0018586D">
      <w:pPr>
        <w:numPr>
          <w:ilvl w:val="0"/>
          <w:numId w:val="17"/>
        </w:numPr>
        <w:tabs>
          <w:tab w:val="clear" w:pos="357"/>
        </w:tabs>
        <w:ind w:left="284" w:hanging="284"/>
        <w:jc w:val="both"/>
        <w:rPr>
          <w:rFonts w:eastAsia="Calibri"/>
          <w:szCs w:val="22"/>
        </w:rPr>
      </w:pPr>
      <w:r w:rsidRPr="00997B92">
        <w:rPr>
          <w:rFonts w:eastAsia="Calibri"/>
          <w:szCs w:val="22"/>
        </w:rPr>
        <w:t xml:space="preserve">reduce the ability of the retail packaging of tobacco products to mislead consumers about the harmful effects of smoking or using tobacco products; and </w:t>
      </w:r>
    </w:p>
    <w:p w:rsidR="00CB756C" w:rsidRPr="00997B92" w:rsidRDefault="00CB756C" w:rsidP="0018586D">
      <w:pPr>
        <w:numPr>
          <w:ilvl w:val="0"/>
          <w:numId w:val="17"/>
        </w:numPr>
        <w:tabs>
          <w:tab w:val="clear" w:pos="357"/>
        </w:tabs>
        <w:ind w:left="284" w:hanging="284"/>
        <w:jc w:val="both"/>
        <w:rPr>
          <w:rFonts w:eastAsia="Calibri"/>
          <w:szCs w:val="22"/>
        </w:rPr>
      </w:pPr>
      <w:r w:rsidRPr="00997B92">
        <w:rPr>
          <w:rFonts w:eastAsia="Calibri"/>
          <w:szCs w:val="22"/>
        </w:rPr>
        <w:t xml:space="preserve">through the achievement of these objectives, in the long term, as part of a comprehensive range of tobacco control measures, contribute to efforts to improve public health by discouraging people from taking up smoking, or using tobacco products; encouraging people to give up smoking, and to stop using tobacco products; discouraging people who have given up smoking, or who have stopped using tobacco products, from relapsing; and reducing people’s exposure to smoke from tobacco products. </w:t>
      </w:r>
    </w:p>
    <w:p w:rsidR="00CB756C" w:rsidRPr="00997B92" w:rsidRDefault="00CB756C" w:rsidP="00CB756C">
      <w:pPr>
        <w:pStyle w:val="Heading4"/>
      </w:pPr>
      <w:bookmarkStart w:id="179" w:name="_Toc409528750"/>
      <w:r w:rsidRPr="00997B92">
        <w:t>Related information/documents</w:t>
      </w:r>
      <w:bookmarkEnd w:id="179"/>
    </w:p>
    <w:p w:rsidR="00CB756C" w:rsidRPr="00997B92" w:rsidRDefault="00CB756C" w:rsidP="00CB756C">
      <w:pPr>
        <w:rPr>
          <w:color w:val="0000FF"/>
          <w:u w:val="single"/>
        </w:rPr>
      </w:pPr>
      <w:r w:rsidRPr="00997B92">
        <w:t xml:space="preserve">Further information about the </w:t>
      </w:r>
      <w:hyperlink r:id="rId44" w:history="1">
        <w:r w:rsidRPr="004D7CC5">
          <w:rPr>
            <w:rStyle w:val="Hyperlink"/>
          </w:rPr>
          <w:t>tobacco plain packaging measure</w:t>
        </w:r>
      </w:hyperlink>
      <w:r w:rsidRPr="00997B92">
        <w:t xml:space="preserve"> can be found on the Department’s website at </w:t>
      </w:r>
      <w:r w:rsidRPr="004D7CC5">
        <w:t>www.health.gov.au/tobaccopp.</w:t>
      </w:r>
    </w:p>
    <w:p w:rsidR="00CB756C" w:rsidRPr="00997B92" w:rsidRDefault="00CB756C" w:rsidP="00CB756C">
      <w:pPr>
        <w:pStyle w:val="Heading4"/>
      </w:pPr>
      <w:r w:rsidRPr="00997B92">
        <w:t xml:space="preserve">When we are consulting? </w:t>
      </w:r>
    </w:p>
    <w:p w:rsidR="00CB756C" w:rsidRPr="00997B92" w:rsidRDefault="00CB756C" w:rsidP="00CB756C">
      <w:r w:rsidRPr="00997B92">
        <w:t xml:space="preserve">The written submission process will be taking place over a period of six weeks from the </w:t>
      </w:r>
      <w:r w:rsidRPr="004D7CC5">
        <w:rPr>
          <w:rStyle w:val="Strong"/>
        </w:rPr>
        <w:t>16th February to the 27th March, 2015</w:t>
      </w:r>
      <w:r w:rsidRPr="00997B92">
        <w:t xml:space="preserve">. Please submit your response by the </w:t>
      </w:r>
      <w:r w:rsidRPr="004D7CC5">
        <w:rPr>
          <w:rStyle w:val="Strong"/>
        </w:rPr>
        <w:t>27th March, 2015.</w:t>
      </w:r>
    </w:p>
    <w:p w:rsidR="00CB756C" w:rsidRPr="00997B92" w:rsidRDefault="00CB756C" w:rsidP="00CB756C">
      <w:pPr>
        <w:pStyle w:val="Heading4"/>
      </w:pPr>
      <w:bookmarkStart w:id="180" w:name="_Toc409528747"/>
      <w:r w:rsidRPr="00997B92">
        <w:t>Who will be consulted</w:t>
      </w:r>
      <w:bookmarkEnd w:id="180"/>
      <w:r w:rsidRPr="00997B92">
        <w:t xml:space="preserve">? </w:t>
      </w:r>
    </w:p>
    <w:p w:rsidR="00CB756C" w:rsidRPr="00997B92" w:rsidRDefault="00CB756C" w:rsidP="00CB756C">
      <w:r w:rsidRPr="00997B92">
        <w:t>Stakeholders may include (but are not limited to):</w:t>
      </w:r>
    </w:p>
    <w:p w:rsidR="00CB756C" w:rsidRPr="00997B92" w:rsidRDefault="00CB756C" w:rsidP="0018586D">
      <w:pPr>
        <w:numPr>
          <w:ilvl w:val="0"/>
          <w:numId w:val="16"/>
        </w:numPr>
        <w:jc w:val="both"/>
      </w:pPr>
      <w:r w:rsidRPr="00997B92">
        <w:t>tobacco industry representatives</w:t>
      </w:r>
    </w:p>
    <w:p w:rsidR="00CB756C" w:rsidRPr="00997B92" w:rsidRDefault="00CB756C" w:rsidP="0018586D">
      <w:pPr>
        <w:numPr>
          <w:ilvl w:val="0"/>
          <w:numId w:val="16"/>
        </w:numPr>
        <w:jc w:val="both"/>
      </w:pPr>
      <w:r w:rsidRPr="00997B92">
        <w:t>tobacco wholesalers and retailers</w:t>
      </w:r>
    </w:p>
    <w:p w:rsidR="00CB756C" w:rsidRPr="00997B92" w:rsidRDefault="00CB756C" w:rsidP="0018586D">
      <w:pPr>
        <w:numPr>
          <w:ilvl w:val="0"/>
          <w:numId w:val="16"/>
        </w:numPr>
        <w:jc w:val="both"/>
      </w:pPr>
      <w:r w:rsidRPr="00997B92">
        <w:t>tobacco product packaging manufacturers</w:t>
      </w:r>
    </w:p>
    <w:p w:rsidR="00CB756C" w:rsidRPr="00997B92" w:rsidRDefault="00CB756C" w:rsidP="0018586D">
      <w:pPr>
        <w:numPr>
          <w:ilvl w:val="0"/>
          <w:numId w:val="16"/>
        </w:numPr>
        <w:jc w:val="both"/>
      </w:pPr>
      <w:r w:rsidRPr="00997B92">
        <w:lastRenderedPageBreak/>
        <w:t xml:space="preserve">state and territory governments </w:t>
      </w:r>
    </w:p>
    <w:p w:rsidR="00CB756C" w:rsidRPr="00997B92" w:rsidRDefault="00CB756C" w:rsidP="0018586D">
      <w:pPr>
        <w:numPr>
          <w:ilvl w:val="0"/>
          <w:numId w:val="16"/>
        </w:numPr>
        <w:jc w:val="both"/>
      </w:pPr>
      <w:r w:rsidRPr="00997B92">
        <w:t>non-government tobacco control organisations</w:t>
      </w:r>
    </w:p>
    <w:p w:rsidR="00CB756C" w:rsidRPr="00997B92" w:rsidRDefault="00CB756C" w:rsidP="0018586D">
      <w:pPr>
        <w:numPr>
          <w:ilvl w:val="0"/>
          <w:numId w:val="16"/>
        </w:numPr>
        <w:jc w:val="both"/>
      </w:pPr>
      <w:r w:rsidRPr="00997B92">
        <w:t>public health experts and organisations</w:t>
      </w:r>
    </w:p>
    <w:p w:rsidR="00CB756C" w:rsidRPr="00997B92" w:rsidRDefault="00CB756C" w:rsidP="0018586D">
      <w:pPr>
        <w:numPr>
          <w:ilvl w:val="0"/>
          <w:numId w:val="16"/>
        </w:numPr>
        <w:jc w:val="both"/>
      </w:pPr>
      <w:r w:rsidRPr="00997B92">
        <w:t>the general public and consumers; and</w:t>
      </w:r>
    </w:p>
    <w:p w:rsidR="00CB756C" w:rsidRPr="00997B92" w:rsidRDefault="00CB756C" w:rsidP="0018586D">
      <w:pPr>
        <w:numPr>
          <w:ilvl w:val="0"/>
          <w:numId w:val="16"/>
        </w:numPr>
        <w:jc w:val="both"/>
      </w:pPr>
      <w:r w:rsidRPr="00997B92">
        <w:t>Australian government agencies such as the National Measurement Institute/Department of Industry, Australian Taxation Office, Australian Customs and Border Protection Service, Attorney General’s Department, the Department of Foreign Affairs and Trade, the Department of Finance, Australian Competition and Consumer Commission, the Treasury, the Department of Prime Minister and Cabinet, IP Australia and the Department of Health.</w:t>
      </w:r>
    </w:p>
    <w:p w:rsidR="00CB756C" w:rsidRPr="00997B92" w:rsidRDefault="00CB756C" w:rsidP="00CB756C">
      <w:pPr>
        <w:pStyle w:val="Heading4"/>
      </w:pPr>
      <w:bookmarkStart w:id="181" w:name="_Toc409528748"/>
      <w:r w:rsidRPr="00997B92">
        <w:t>How to participate</w:t>
      </w:r>
      <w:bookmarkEnd w:id="181"/>
      <w:r w:rsidRPr="00997B92">
        <w:t>?</w:t>
      </w:r>
    </w:p>
    <w:p w:rsidR="00CB756C" w:rsidRPr="00997B92" w:rsidRDefault="00CB756C" w:rsidP="00CB756C">
      <w:proofErr w:type="gramStart"/>
      <w:r w:rsidRPr="00997B92">
        <w:t>To participate please press the ‘continue’ button below.</w:t>
      </w:r>
      <w:proofErr w:type="gramEnd"/>
      <w:r w:rsidRPr="00997B92">
        <w:t xml:space="preserve"> You </w:t>
      </w:r>
      <w:r w:rsidRPr="00997B92">
        <w:rPr>
          <w:i/>
        </w:rPr>
        <w:t>do not</w:t>
      </w:r>
      <w:r w:rsidRPr="00997B92">
        <w:t xml:space="preserve"> need to answer </w:t>
      </w:r>
      <w:r w:rsidRPr="00997B92">
        <w:rPr>
          <w:i/>
        </w:rPr>
        <w:t>all</w:t>
      </w:r>
      <w:r w:rsidRPr="00997B92">
        <w:t xml:space="preserve"> questions, only those that you feel able to respond to. You can also choose to save your response and complete it at a later time by pressing the ‘save page and continue later’ button. Please make sure to complete your written submission prior to the </w:t>
      </w:r>
      <w:r w:rsidRPr="004D7CC5">
        <w:rPr>
          <w:rStyle w:val="Strong"/>
        </w:rPr>
        <w:t>27th March, 2015</w:t>
      </w:r>
      <w:r w:rsidRPr="00997B92">
        <w:t xml:space="preserve"> – otherwise your submission will not be counted. </w:t>
      </w:r>
    </w:p>
    <w:p w:rsidR="00CB756C" w:rsidRPr="00997B92" w:rsidRDefault="00CB756C" w:rsidP="00CB756C">
      <w:r w:rsidRPr="00997B92">
        <w:t xml:space="preserve">To submit supporting documentation and/or data which relate to specific questions please make note of the </w:t>
      </w:r>
      <w:r w:rsidRPr="004D7CC5">
        <w:rPr>
          <w:rStyle w:val="Strong"/>
        </w:rPr>
        <w:t>question number</w:t>
      </w:r>
      <w:r w:rsidRPr="00997B92">
        <w:t xml:space="preserve"> and submit this along with your </w:t>
      </w:r>
      <w:r w:rsidRPr="004D7CC5">
        <w:rPr>
          <w:rStyle w:val="Strong"/>
        </w:rPr>
        <w:t>Response ID</w:t>
      </w:r>
      <w:r w:rsidRPr="00997B92">
        <w:t xml:space="preserve"> (found on the thank you page once you have completed your response) to: </w:t>
      </w:r>
      <w:r w:rsidRPr="00CE16CA">
        <w:t>plainpackaging@sigginsmiller.com.au</w:t>
      </w:r>
      <w:r>
        <w:t>.</w:t>
      </w:r>
    </w:p>
    <w:p w:rsidR="00CB756C" w:rsidRPr="00997B92" w:rsidRDefault="00CB756C" w:rsidP="00CB756C">
      <w:r w:rsidRPr="00997B92">
        <w:t xml:space="preserve">If you have any trouble completing this written submission </w:t>
      </w:r>
      <w:proofErr w:type="gramStart"/>
      <w:r w:rsidRPr="00997B92">
        <w:t>please</w:t>
      </w:r>
      <w:proofErr w:type="gramEnd"/>
      <w:r w:rsidRPr="00997B92">
        <w:t xml:space="preserve"> email: </w:t>
      </w:r>
      <w:r w:rsidRPr="00CE16CA">
        <w:t>contact@sigginsmiller.com.au</w:t>
      </w:r>
      <w:r w:rsidRPr="00997B92">
        <w:t xml:space="preserve"> </w:t>
      </w:r>
      <w:r w:rsidRPr="00997B92">
        <w:rPr>
          <w:szCs w:val="20"/>
        </w:rPr>
        <w:t xml:space="preserve">or call </w:t>
      </w:r>
      <w:r w:rsidRPr="004D7CC5">
        <w:rPr>
          <w:rStyle w:val="Strong"/>
        </w:rPr>
        <w:t>1800 033 980.</w:t>
      </w:r>
    </w:p>
    <w:p w:rsidR="00CB756C" w:rsidRPr="00B847E5" w:rsidRDefault="00CB756C" w:rsidP="00CB756C">
      <w:pPr>
        <w:pBdr>
          <w:top w:val="single" w:sz="4" w:space="1" w:color="auto"/>
          <w:left w:val="single" w:sz="4" w:space="4" w:color="auto"/>
          <w:bottom w:val="single" w:sz="4" w:space="1" w:color="auto"/>
          <w:right w:val="single" w:sz="4" w:space="4" w:color="auto"/>
        </w:pBdr>
        <w:jc w:val="center"/>
      </w:pPr>
      <w:r w:rsidRPr="00997B92">
        <w:rPr>
          <w:rFonts w:cs="Times New Roman"/>
          <w:bCs/>
          <w:kern w:val="32"/>
          <w:szCs w:val="20"/>
        </w:rPr>
        <w:t>WRITTEN SUBMISSION FORM</w:t>
      </w:r>
    </w:p>
    <w:p w:rsidR="00CB756C" w:rsidRPr="004D7CC5" w:rsidRDefault="00CB756C" w:rsidP="00CB756C">
      <w:pPr>
        <w:rPr>
          <w:rStyle w:val="SubtleEmphasis"/>
        </w:rPr>
      </w:pPr>
      <w:bookmarkStart w:id="182" w:name="_Toc409528749"/>
      <w:r w:rsidRPr="004D7CC5">
        <w:rPr>
          <w:rStyle w:val="SubtleEmphasis"/>
        </w:rPr>
        <w:t>The length of time it will take to complete the written submission will vary depending on your response – at a minimum it will take approximately 15 minutes.</w:t>
      </w:r>
    </w:p>
    <w:p w:rsidR="00CB756C" w:rsidRPr="00997B92" w:rsidRDefault="00CB756C" w:rsidP="00CB756C">
      <w:pPr>
        <w:pStyle w:val="Heading4"/>
      </w:pPr>
      <w:r w:rsidRPr="00997B92">
        <w:t>How your submission will be treated</w:t>
      </w:r>
      <w:bookmarkEnd w:id="182"/>
    </w:p>
    <w:p w:rsidR="00CB756C" w:rsidRPr="00997B92" w:rsidRDefault="00CB756C" w:rsidP="00CB756C">
      <w:r w:rsidRPr="00997B92">
        <w:t xml:space="preserve">Submissions received are generally published on the </w:t>
      </w:r>
      <w:hyperlink r:id="rId45" w:history="1">
        <w:r w:rsidRPr="004D7CC5">
          <w:rPr>
            <w:rStyle w:val="Hyperlink"/>
          </w:rPr>
          <w:t>Australian Government Department of Health website</w:t>
        </w:r>
      </w:hyperlink>
      <w:r w:rsidRPr="00997B92">
        <w:t xml:space="preserve"> </w:t>
      </w:r>
      <w:r>
        <w:t>(</w:t>
      </w:r>
      <w:r w:rsidRPr="004D7CC5">
        <w:t>www.health.gov.au</w:t>
      </w:r>
      <w:r>
        <w:t>)</w:t>
      </w:r>
      <w:r w:rsidRPr="004D7CC5">
        <w:t xml:space="preserve"> </w:t>
      </w:r>
      <w:r w:rsidRPr="00997B92">
        <w:t>after the consultation closes.</w:t>
      </w:r>
    </w:p>
    <w:p w:rsidR="00CB756C" w:rsidRPr="00997B92" w:rsidRDefault="00CB756C" w:rsidP="00CB756C">
      <w:r w:rsidRPr="00997B92">
        <w:t>The views expressed in the submissions are those of the individuals or organisations who submit them and their publication does not imply any acceptance of, or agreement with, these views by the Department.</w:t>
      </w:r>
    </w:p>
    <w:p w:rsidR="00CB756C" w:rsidRPr="00997B92" w:rsidRDefault="00CB756C" w:rsidP="00CB756C">
      <w:r w:rsidRPr="00997B92">
        <w:t>The Department publishes submissions on the website to encourage discussion and inform the community and stakeholders. However, the Department retains the right not to publish submissions at its discretion, and will not place on the website, or make available to the public, submissions that contain offensive or defamatory comments or which are outside the scope of the consultation.</w:t>
      </w:r>
    </w:p>
    <w:p w:rsidR="00CB756C" w:rsidRPr="001C6628" w:rsidRDefault="00CB756C" w:rsidP="00CB756C">
      <w:pPr>
        <w:rPr>
          <w:rFonts w:cs="Times New Roman"/>
        </w:rPr>
      </w:pPr>
      <w:r w:rsidRPr="001C6628">
        <w:rPr>
          <w:rFonts w:cs="Times New Roman"/>
        </w:rPr>
        <w:t xml:space="preserve">Before publication, the Department will remove personally-identifying information from submissions, such as personal email addresses, telephone numbers and home addresses. Whole or parts of submissions which contain information which is requested to be treated as confidential will not be released, unless consent is subsequently received. </w:t>
      </w:r>
    </w:p>
    <w:p w:rsidR="00CB756C" w:rsidRPr="001C6628" w:rsidRDefault="00CB756C" w:rsidP="00CB756C">
      <w:pPr>
        <w:rPr>
          <w:rFonts w:cs="Times New Roman"/>
        </w:rPr>
      </w:pPr>
      <w:r w:rsidRPr="001C6628">
        <w:rPr>
          <w:rFonts w:cs="Times New Roman"/>
        </w:rPr>
        <w:t xml:space="preserve">Any request for access to a confidential submission will be determined in accordance with the </w:t>
      </w:r>
      <w:r w:rsidRPr="001C6628">
        <w:rPr>
          <w:rStyle w:val="SubtleEmphasis"/>
          <w:rFonts w:ascii="Times New Roman" w:hAnsi="Times New Roman" w:cs="Times New Roman"/>
          <w:sz w:val="24"/>
        </w:rPr>
        <w:t>Freedom of Information Act 1982</w:t>
      </w:r>
      <w:r w:rsidRPr="001C6628">
        <w:rPr>
          <w:rFonts w:cs="Times New Roman"/>
          <w:i/>
        </w:rPr>
        <w:t xml:space="preserve"> </w:t>
      </w:r>
      <w:r w:rsidRPr="001C6628">
        <w:rPr>
          <w:rFonts w:cs="Times New Roman"/>
        </w:rPr>
        <w:t>(Cth), which has provisions designed to protect personal information and information given in confidence.</w:t>
      </w:r>
    </w:p>
    <w:p w:rsidR="00CB756C" w:rsidRPr="00997B92" w:rsidRDefault="00CB756C" w:rsidP="00CB756C">
      <w:pPr>
        <w:pStyle w:val="Heading4"/>
      </w:pPr>
      <w:r w:rsidRPr="00997B92">
        <w:lastRenderedPageBreak/>
        <w:t>Background</w:t>
      </w:r>
      <w:bookmarkEnd w:id="177"/>
    </w:p>
    <w:p w:rsidR="00CB756C" w:rsidRPr="00265722" w:rsidRDefault="00CB756C" w:rsidP="00CB756C">
      <w:pPr>
        <w:jc w:val="center"/>
        <w:rPr>
          <w:rStyle w:val="Strong"/>
        </w:rPr>
      </w:pPr>
      <w:r w:rsidRPr="00265722">
        <w:rPr>
          <w:rStyle w:val="Strong"/>
        </w:rPr>
        <w:t>It is important to note that health warnings on tobacco product packaging fall under different legislation and are not the focus of this review.</w:t>
      </w:r>
    </w:p>
    <w:p w:rsidR="00CB756C" w:rsidRPr="00997B92" w:rsidRDefault="00CB756C" w:rsidP="00CB756C">
      <w:pPr>
        <w:pStyle w:val="Heading5"/>
        <w:rPr>
          <w:iCs w:val="0"/>
        </w:rPr>
      </w:pPr>
      <w:bookmarkStart w:id="183" w:name="_Toc409528745"/>
      <w:r w:rsidRPr="00997B92">
        <w:t>Tobacco plain packaging</w:t>
      </w:r>
      <w:bookmarkEnd w:id="183"/>
      <w:r w:rsidRPr="00997B92">
        <w:t xml:space="preserve"> </w:t>
      </w:r>
    </w:p>
    <w:p w:rsidR="00CB756C" w:rsidRPr="001C6628" w:rsidRDefault="00CB756C" w:rsidP="00CB756C">
      <w:pPr>
        <w:rPr>
          <w:rFonts w:cs="Times New Roman"/>
        </w:rPr>
      </w:pPr>
      <w:r w:rsidRPr="001C6628">
        <w:rPr>
          <w:rFonts w:cs="Times New Roman"/>
        </w:rPr>
        <w:t xml:space="preserve">With effect from 1 October 2012, all tobacco products manufactured or packaged in Australia for domestic consumption were required to be in plain packaging, and with effect from 1 December 2012, all tobacco products sold, offered for sale or otherwise supplied in Australia were required to be in plain packaging.  </w:t>
      </w:r>
    </w:p>
    <w:p w:rsidR="00CB756C" w:rsidRPr="001C6628" w:rsidRDefault="00CB756C" w:rsidP="00CB756C">
      <w:pPr>
        <w:rPr>
          <w:rFonts w:cs="Times New Roman"/>
        </w:rPr>
      </w:pPr>
      <w:r w:rsidRPr="001C6628">
        <w:rPr>
          <w:rFonts w:cs="Times New Roman"/>
        </w:rPr>
        <w:t xml:space="preserve">Tobacco plain packaging has been implemented as part of Australia’s comprehensive package of tobacco control measures, through the </w:t>
      </w:r>
      <w:r w:rsidRPr="001C6628">
        <w:rPr>
          <w:rStyle w:val="SubtleEmphasis"/>
          <w:rFonts w:ascii="Times New Roman" w:hAnsi="Times New Roman" w:cs="Times New Roman"/>
          <w:sz w:val="24"/>
        </w:rPr>
        <w:t xml:space="preserve">Tobacco Plain Packaging Act 2011 (Cth) and the Trade Marks Amendment (Tobacco Plain Packaging) Act 2011 </w:t>
      </w:r>
      <w:r w:rsidRPr="001C6628">
        <w:rPr>
          <w:rFonts w:cs="Times New Roman"/>
        </w:rPr>
        <w:t>(Cth). The tobacco plain packaging legislation removed one of the last forms of tobacco advertising permitted in Australia by imposing significant restrictions upon the colour, shape and finish of retail packaging for tobacco products.</w:t>
      </w:r>
    </w:p>
    <w:p w:rsidR="00CB756C" w:rsidRPr="001C6628" w:rsidRDefault="00CB756C" w:rsidP="00CB756C">
      <w:pPr>
        <w:rPr>
          <w:rFonts w:cs="Times New Roman"/>
        </w:rPr>
      </w:pPr>
      <w:r w:rsidRPr="001C6628">
        <w:rPr>
          <w:rFonts w:cs="Times New Roman"/>
        </w:rPr>
        <w:t xml:space="preserve">The </w:t>
      </w:r>
      <w:r w:rsidRPr="001C6628">
        <w:rPr>
          <w:rStyle w:val="SubtleEmphasis"/>
          <w:rFonts w:ascii="Times New Roman" w:hAnsi="Times New Roman" w:cs="Times New Roman"/>
          <w:sz w:val="24"/>
        </w:rPr>
        <w:t>Tobacco Plain Packaging Act 2011</w:t>
      </w:r>
      <w:r w:rsidRPr="001C6628">
        <w:rPr>
          <w:rFonts w:cs="Times New Roman"/>
        </w:rPr>
        <w:t xml:space="preserve"> (Cth) and the associated </w:t>
      </w:r>
      <w:r w:rsidRPr="001C6628">
        <w:rPr>
          <w:rStyle w:val="SubtleEmphasis"/>
          <w:rFonts w:ascii="Times New Roman" w:hAnsi="Times New Roman" w:cs="Times New Roman"/>
          <w:sz w:val="24"/>
        </w:rPr>
        <w:t>Tobacco Plain Packaging Regulations 2011</w:t>
      </w:r>
      <w:r w:rsidRPr="001C6628">
        <w:rPr>
          <w:rFonts w:cs="Times New Roman"/>
        </w:rPr>
        <w:t xml:space="preserve"> prohibit tobacco industry logos, brand imagery, colours and promotional text other than brand and products names which must be in a standard colour, position, font style and size appearing on the retail packaging of tobacco products. Tobacco product retail packaging is required to appear in a drab dark brown colour (Pantone 448C) in matt finish. Cigarette packs are required to have standardised shapes and openings.  Plain packaging applies not just to cigarette products but all tobacco products, including loose leaf tobacco, cigars and bidis. Some restrictions also apply to the appearance of tobacco products themselves. </w:t>
      </w:r>
    </w:p>
    <w:p w:rsidR="00CB756C" w:rsidRPr="00997B92" w:rsidRDefault="00CB756C" w:rsidP="00CB756C">
      <w:pPr>
        <w:pStyle w:val="Heading5"/>
      </w:pPr>
      <w:r w:rsidRPr="00997B92">
        <w:t>Health warnings on tobacco product packaging</w:t>
      </w:r>
    </w:p>
    <w:p w:rsidR="00CB756C" w:rsidRPr="00265722" w:rsidRDefault="00CB756C" w:rsidP="00CB756C">
      <w:pPr>
        <w:rPr>
          <w:rStyle w:val="Strong"/>
        </w:rPr>
      </w:pPr>
      <w:r w:rsidRPr="00265722">
        <w:rPr>
          <w:rStyle w:val="Strong"/>
        </w:rPr>
        <w:t>Since 1 December 2012 retail packaging of tobacco products supplied in Australia must display the updated and expanded health warnings specified in the Competition and Consumer (Tobacco) Information Standard 2011 (the Standard).  Whilst the introduction of the updated and expanded health warnings was aligned with the timing of the tobacco plain packaging measure, they are two distinct measures that fall under different legislation.  As the updated and expanded health warnings would be required as ‘business as usual’ even in the absence of the tobacco plain packaging regulation they are not the focus of this review.</w:t>
      </w:r>
    </w:p>
    <w:p w:rsidR="00CB756C" w:rsidRPr="00997B92" w:rsidRDefault="00CB756C" w:rsidP="00CB756C">
      <w:pPr>
        <w:rPr>
          <w:lang w:eastAsia="en-AU"/>
        </w:rPr>
      </w:pPr>
      <w:r w:rsidRPr="00997B92">
        <w:rPr>
          <w:lang w:eastAsia="en-AU"/>
        </w:rPr>
        <w:t>To assist in distinguishing between the two measures the key health warning requirements under the Standard include:</w:t>
      </w:r>
    </w:p>
    <w:p w:rsidR="00CB756C" w:rsidRPr="00997B92" w:rsidRDefault="00CB756C" w:rsidP="0018586D">
      <w:pPr>
        <w:numPr>
          <w:ilvl w:val="0"/>
          <w:numId w:val="20"/>
        </w:numPr>
        <w:tabs>
          <w:tab w:val="clear" w:pos="357"/>
        </w:tabs>
        <w:jc w:val="both"/>
        <w:rPr>
          <w:rFonts w:eastAsia="Calibri"/>
          <w:szCs w:val="20"/>
          <w:lang w:eastAsia="en-AU"/>
        </w:rPr>
      </w:pPr>
      <w:r w:rsidRPr="00997B92">
        <w:rPr>
          <w:rFonts w:eastAsia="Calibri"/>
          <w:szCs w:val="20"/>
          <w:lang w:eastAsia="en-AU"/>
        </w:rPr>
        <w:t>graphic health warnings covering 75 per cent of the front surface of most tobacco product packaging;</w:t>
      </w:r>
    </w:p>
    <w:p w:rsidR="00CB756C" w:rsidRPr="00997B92" w:rsidRDefault="00CB756C" w:rsidP="0018586D">
      <w:pPr>
        <w:numPr>
          <w:ilvl w:val="0"/>
          <w:numId w:val="20"/>
        </w:numPr>
        <w:tabs>
          <w:tab w:val="clear" w:pos="357"/>
        </w:tabs>
        <w:jc w:val="both"/>
        <w:rPr>
          <w:rFonts w:eastAsia="Calibri"/>
          <w:szCs w:val="20"/>
          <w:lang w:eastAsia="en-AU"/>
        </w:rPr>
      </w:pPr>
      <w:r w:rsidRPr="00997B92">
        <w:rPr>
          <w:rFonts w:eastAsia="Calibri"/>
          <w:szCs w:val="20"/>
          <w:lang w:eastAsia="en-AU"/>
        </w:rPr>
        <w:t>graphic health warnings covering 90 per cent of the back surface for cigarette packaging and 75 per cent of the back surface of most other tobacco product packaging;</w:t>
      </w:r>
    </w:p>
    <w:p w:rsidR="00CB756C" w:rsidRPr="00997B92" w:rsidRDefault="00CB756C" w:rsidP="0018586D">
      <w:pPr>
        <w:numPr>
          <w:ilvl w:val="0"/>
          <w:numId w:val="20"/>
        </w:numPr>
        <w:tabs>
          <w:tab w:val="clear" w:pos="357"/>
        </w:tabs>
        <w:jc w:val="both"/>
        <w:rPr>
          <w:rFonts w:eastAsia="Calibri"/>
          <w:szCs w:val="20"/>
          <w:lang w:eastAsia="en-AU"/>
        </w:rPr>
      </w:pPr>
      <w:r w:rsidRPr="00997B92">
        <w:rPr>
          <w:rFonts w:eastAsia="Calibri"/>
          <w:szCs w:val="20"/>
          <w:lang w:eastAsia="en-AU"/>
        </w:rPr>
        <w:t>information messages on the side of cigarette packaging and on most other smoked tobacco products;</w:t>
      </w:r>
    </w:p>
    <w:p w:rsidR="00CB756C" w:rsidRPr="00997B92" w:rsidRDefault="00CB756C" w:rsidP="0018586D">
      <w:pPr>
        <w:numPr>
          <w:ilvl w:val="0"/>
          <w:numId w:val="20"/>
        </w:numPr>
        <w:tabs>
          <w:tab w:val="clear" w:pos="357"/>
        </w:tabs>
        <w:jc w:val="both"/>
        <w:rPr>
          <w:rFonts w:eastAsia="Calibri"/>
          <w:szCs w:val="20"/>
          <w:lang w:eastAsia="en-AU"/>
        </w:rPr>
      </w:pPr>
      <w:r w:rsidRPr="00997B92">
        <w:rPr>
          <w:rFonts w:eastAsia="Calibri"/>
          <w:szCs w:val="20"/>
          <w:lang w:eastAsia="en-AU"/>
        </w:rPr>
        <w:t>rotation of the graphic health warnings for cigarettes and most other smoked tobacco products (not including cigars and bidis) every 12 months in two sets of seven warnings; and</w:t>
      </w:r>
    </w:p>
    <w:p w:rsidR="00CB756C" w:rsidRPr="00997B92" w:rsidRDefault="00CB756C" w:rsidP="0018586D">
      <w:pPr>
        <w:numPr>
          <w:ilvl w:val="0"/>
          <w:numId w:val="20"/>
        </w:numPr>
        <w:tabs>
          <w:tab w:val="clear" w:pos="357"/>
        </w:tabs>
        <w:jc w:val="both"/>
        <w:rPr>
          <w:rFonts w:eastAsia="Calibri"/>
          <w:szCs w:val="20"/>
          <w:lang w:eastAsia="en-AU"/>
        </w:rPr>
      </w:pPr>
      <w:proofErr w:type="gramStart"/>
      <w:r w:rsidRPr="00997B92">
        <w:rPr>
          <w:rFonts w:eastAsia="Calibri"/>
          <w:szCs w:val="20"/>
          <w:lang w:eastAsia="en-AU"/>
        </w:rPr>
        <w:lastRenderedPageBreak/>
        <w:t>cigars</w:t>
      </w:r>
      <w:proofErr w:type="gramEnd"/>
      <w:r w:rsidRPr="00997B92">
        <w:rPr>
          <w:rFonts w:eastAsia="Calibri"/>
          <w:szCs w:val="20"/>
          <w:lang w:eastAsia="en-AU"/>
        </w:rPr>
        <w:t xml:space="preserve"> sold singly are also required to be supplied in retail packaging with health warnings. </w:t>
      </w:r>
    </w:p>
    <w:p w:rsidR="00CB756C" w:rsidRPr="00997B92" w:rsidRDefault="00CB756C" w:rsidP="00CB756C">
      <w:pPr>
        <w:pStyle w:val="Heading5"/>
      </w:pPr>
      <w:r w:rsidRPr="00997B92">
        <w:t>Comprehensive package of tobacco control measures</w:t>
      </w:r>
    </w:p>
    <w:p w:rsidR="00CB756C" w:rsidRPr="00997B92" w:rsidRDefault="00CB756C" w:rsidP="00CB756C">
      <w:r w:rsidRPr="00997B92">
        <w:rPr>
          <w:lang w:eastAsia="en-AU"/>
        </w:rPr>
        <w:t>Tobacco plain packaging is a key part of Australia’s comprehensive package of tobacco control measures, which include:</w:t>
      </w:r>
    </w:p>
    <w:p w:rsidR="00CB756C" w:rsidRPr="00997B92" w:rsidRDefault="00CB756C" w:rsidP="00CB756C">
      <w:pPr>
        <w:numPr>
          <w:ilvl w:val="0"/>
          <w:numId w:val="9"/>
        </w:numPr>
        <w:jc w:val="both"/>
      </w:pPr>
      <w:r w:rsidRPr="00997B92">
        <w:rPr>
          <w:lang w:eastAsia="en-AU"/>
        </w:rPr>
        <w:t>a 25 per cent increase in tobacco excise in April 2010;</w:t>
      </w:r>
    </w:p>
    <w:p w:rsidR="00CB756C" w:rsidRPr="00997B92" w:rsidRDefault="00CB756C" w:rsidP="00CB756C">
      <w:pPr>
        <w:numPr>
          <w:ilvl w:val="0"/>
          <w:numId w:val="9"/>
        </w:numPr>
        <w:jc w:val="both"/>
      </w:pPr>
      <w:r w:rsidRPr="00997B92">
        <w:t>updated and expanded health warnings on tobacco product packaging;</w:t>
      </w:r>
    </w:p>
    <w:p w:rsidR="00CB756C" w:rsidRPr="00997B92" w:rsidRDefault="00CB756C" w:rsidP="00CB756C">
      <w:pPr>
        <w:numPr>
          <w:ilvl w:val="0"/>
          <w:numId w:val="9"/>
        </w:numPr>
        <w:jc w:val="both"/>
      </w:pPr>
      <w:r w:rsidRPr="00997B92">
        <w:rPr>
          <w:lang w:eastAsia="en-AU"/>
        </w:rPr>
        <w:t>major funding investments in anti-smoking social marketing campaigns and public education campaigns;</w:t>
      </w:r>
    </w:p>
    <w:p w:rsidR="00CB756C" w:rsidRPr="00997B92" w:rsidRDefault="00CB756C" w:rsidP="00CB756C">
      <w:pPr>
        <w:numPr>
          <w:ilvl w:val="0"/>
          <w:numId w:val="9"/>
        </w:numPr>
        <w:jc w:val="both"/>
      </w:pPr>
      <w:r w:rsidRPr="00997B92">
        <w:rPr>
          <w:lang w:eastAsia="en-AU"/>
        </w:rPr>
        <w:t>legislation to restrict internet advertising of tobacco products in Australia, effective from 6 September 2012;</w:t>
      </w:r>
    </w:p>
    <w:p w:rsidR="00CB756C" w:rsidRPr="00997B92" w:rsidRDefault="00CB756C" w:rsidP="00CB756C">
      <w:pPr>
        <w:numPr>
          <w:ilvl w:val="0"/>
          <w:numId w:val="9"/>
        </w:numPr>
        <w:jc w:val="both"/>
      </w:pPr>
      <w:r w:rsidRPr="00997B92">
        <w:t xml:space="preserve">listing of nicotine replacement therapies on the Pharmaceutical Benefits Scheme (PBS), which subsidises access for lower-income Australians and people with a prescription from a GP, and extended listings for the smoking cessation support drugs bupropion (available in two brands) and </w:t>
      </w:r>
      <w:proofErr w:type="spellStart"/>
      <w:r w:rsidRPr="00997B92">
        <w:t>varenicline</w:t>
      </w:r>
      <w:proofErr w:type="spellEnd"/>
      <w:r w:rsidRPr="00997B92">
        <w:t xml:space="preserve"> (</w:t>
      </w:r>
      <w:proofErr w:type="spellStart"/>
      <w:r w:rsidRPr="00997B92">
        <w:t>Champix</w:t>
      </w:r>
      <w:proofErr w:type="spellEnd"/>
      <w:r w:rsidRPr="00997B92">
        <w:t>®);</w:t>
      </w:r>
    </w:p>
    <w:p w:rsidR="00CB756C" w:rsidRPr="00997B92" w:rsidRDefault="00CB756C" w:rsidP="00CB756C">
      <w:pPr>
        <w:numPr>
          <w:ilvl w:val="0"/>
          <w:numId w:val="9"/>
        </w:numPr>
        <w:jc w:val="both"/>
      </w:pPr>
      <w:r w:rsidRPr="00997B92">
        <w:rPr>
          <w:lang w:eastAsia="en-AU"/>
        </w:rPr>
        <w:t xml:space="preserve">substantial funding support, including $33.2 million in 2014-15, for Aboriginal and Torres Strait Islander communities to reduce smoking rates; </w:t>
      </w:r>
    </w:p>
    <w:p w:rsidR="00CB756C" w:rsidRPr="00997B92" w:rsidRDefault="00CB756C" w:rsidP="00CB756C">
      <w:pPr>
        <w:numPr>
          <w:ilvl w:val="0"/>
          <w:numId w:val="9"/>
        </w:numPr>
        <w:jc w:val="both"/>
      </w:pPr>
      <w:r w:rsidRPr="00997B92">
        <w:rPr>
          <w:lang w:eastAsia="en-AU"/>
        </w:rPr>
        <w:t xml:space="preserve">a reduction in the duty free allowance for tobacco products from 250 cigarettes or 250g of cigars or tobacco products to 50 cigarettes or 50g of cigars or tobacco products per person, from 1 September 2012; </w:t>
      </w:r>
    </w:p>
    <w:p w:rsidR="00CB756C" w:rsidRPr="00997B92" w:rsidRDefault="00CB756C" w:rsidP="00CB756C">
      <w:pPr>
        <w:numPr>
          <w:ilvl w:val="0"/>
          <w:numId w:val="9"/>
        </w:numPr>
        <w:jc w:val="both"/>
      </w:pPr>
      <w:r w:rsidRPr="00997B92">
        <w:rPr>
          <w:lang w:eastAsia="en-AU"/>
        </w:rPr>
        <w:t>stronger penalties for people convicted of tobacco smuggling offences; and</w:t>
      </w:r>
    </w:p>
    <w:p w:rsidR="00CB756C" w:rsidRPr="00997B92" w:rsidRDefault="00CB756C" w:rsidP="00CB756C">
      <w:pPr>
        <w:numPr>
          <w:ilvl w:val="0"/>
          <w:numId w:val="9"/>
        </w:numPr>
        <w:jc w:val="both"/>
      </w:pPr>
      <w:proofErr w:type="gramStart"/>
      <w:r w:rsidRPr="00997B92">
        <w:rPr>
          <w:lang w:eastAsia="en-AU"/>
        </w:rPr>
        <w:t>four</w:t>
      </w:r>
      <w:proofErr w:type="gramEnd"/>
      <w:r w:rsidRPr="00997B92">
        <w:rPr>
          <w:lang w:eastAsia="en-AU"/>
        </w:rPr>
        <w:t xml:space="preserve"> staged increases in excise and excise-equivalent customs duty on tobacco and tobacco-related products: the first 12.5 per cent increase commenced on 1 December 2013, the second 12.5 per cent increase commenced on 1 September 2014 and the remaining 12.5 per cent increases will occur on 1 September 2015 and 1 September 2016. These increases are in addition to the change to bi-annual indexation of tobacco products (from Consumer Price Index to Average Weekly Ordinary Time Earnings), which commenced on 1 March 2014. </w:t>
      </w:r>
    </w:p>
    <w:p w:rsidR="00CB756C" w:rsidRPr="00997B92" w:rsidRDefault="00CB756C" w:rsidP="00CB756C">
      <w:r w:rsidRPr="00997B92">
        <w:rPr>
          <w:lang w:eastAsia="en-AU"/>
        </w:rPr>
        <w:t>These measures come on top of a comprehensive range of tobacco control measures already in place in Australia, including:</w:t>
      </w:r>
    </w:p>
    <w:p w:rsidR="00CB756C" w:rsidRPr="00997B92" w:rsidRDefault="00CB756C" w:rsidP="00CB756C">
      <w:pPr>
        <w:numPr>
          <w:ilvl w:val="0"/>
          <w:numId w:val="10"/>
        </w:numPr>
        <w:ind w:left="357" w:hanging="357"/>
        <w:jc w:val="both"/>
        <w:rPr>
          <w:lang w:eastAsia="en-AU"/>
        </w:rPr>
      </w:pPr>
      <w:r w:rsidRPr="00997B92">
        <w:rPr>
          <w:lang w:eastAsia="en-AU"/>
        </w:rPr>
        <w:t>minimum age restrictions on purchase of tobacco products;</w:t>
      </w:r>
    </w:p>
    <w:p w:rsidR="00CB756C" w:rsidRPr="00997B92" w:rsidRDefault="00CB756C" w:rsidP="00CB756C">
      <w:pPr>
        <w:numPr>
          <w:ilvl w:val="0"/>
          <w:numId w:val="10"/>
        </w:numPr>
        <w:ind w:left="357" w:hanging="357"/>
        <w:jc w:val="both"/>
        <w:rPr>
          <w:lang w:eastAsia="en-AU"/>
        </w:rPr>
      </w:pPr>
      <w:r w:rsidRPr="00997B92">
        <w:rPr>
          <w:lang w:eastAsia="en-AU"/>
        </w:rPr>
        <w:t xml:space="preserve">comprehensive advertising bans under the </w:t>
      </w:r>
      <w:r w:rsidRPr="001C6628">
        <w:rPr>
          <w:rStyle w:val="SubtleEmphasis"/>
          <w:rFonts w:ascii="Times New Roman" w:hAnsi="Times New Roman" w:cs="Times New Roman"/>
          <w:sz w:val="24"/>
        </w:rPr>
        <w:t>Tobacco Advertising Prohibition Act 1992</w:t>
      </w:r>
      <w:r w:rsidRPr="00997B92">
        <w:rPr>
          <w:i/>
          <w:lang w:eastAsia="en-AU"/>
        </w:rPr>
        <w:t xml:space="preserve"> </w:t>
      </w:r>
      <w:r w:rsidRPr="00997B92">
        <w:rPr>
          <w:lang w:eastAsia="en-AU"/>
        </w:rPr>
        <w:t>(Cth);</w:t>
      </w:r>
    </w:p>
    <w:p w:rsidR="00CB756C" w:rsidRPr="00997B92" w:rsidRDefault="00CB756C" w:rsidP="00CB756C">
      <w:pPr>
        <w:numPr>
          <w:ilvl w:val="0"/>
          <w:numId w:val="10"/>
        </w:numPr>
        <w:ind w:left="357" w:hanging="357"/>
        <w:jc w:val="both"/>
        <w:rPr>
          <w:lang w:eastAsia="en-AU"/>
        </w:rPr>
      </w:pPr>
      <w:r w:rsidRPr="00997B92">
        <w:rPr>
          <w:lang w:eastAsia="en-AU"/>
        </w:rPr>
        <w:t>graphic health warnings on tobacco packaging;</w:t>
      </w:r>
    </w:p>
    <w:p w:rsidR="00CB756C" w:rsidRPr="00997B92" w:rsidRDefault="00CB756C" w:rsidP="00CB756C">
      <w:pPr>
        <w:numPr>
          <w:ilvl w:val="0"/>
          <w:numId w:val="10"/>
        </w:numPr>
        <w:ind w:left="357" w:hanging="357"/>
        <w:jc w:val="both"/>
        <w:rPr>
          <w:lang w:eastAsia="en-AU"/>
        </w:rPr>
      </w:pPr>
      <w:r w:rsidRPr="00997B92">
        <w:rPr>
          <w:lang w:eastAsia="en-AU"/>
        </w:rPr>
        <w:t>retail display bans;</w:t>
      </w:r>
    </w:p>
    <w:p w:rsidR="00CB756C" w:rsidRPr="00997B92" w:rsidRDefault="00CB756C" w:rsidP="00CB756C">
      <w:pPr>
        <w:numPr>
          <w:ilvl w:val="0"/>
          <w:numId w:val="10"/>
        </w:numPr>
        <w:ind w:left="357" w:hanging="357"/>
        <w:jc w:val="both"/>
        <w:rPr>
          <w:lang w:eastAsia="en-AU"/>
        </w:rPr>
      </w:pPr>
      <w:r w:rsidRPr="00997B92">
        <w:rPr>
          <w:lang w:eastAsia="en-AU"/>
        </w:rPr>
        <w:t>bans on smoking in offices, bars, restaurants and other indoor public spaces, and increasingly outdoor places where children may be exposed to environmental tobacco smoke;</w:t>
      </w:r>
    </w:p>
    <w:p w:rsidR="00CB756C" w:rsidRPr="00997B92" w:rsidRDefault="00CB756C" w:rsidP="00CB756C">
      <w:pPr>
        <w:numPr>
          <w:ilvl w:val="0"/>
          <w:numId w:val="10"/>
        </w:numPr>
        <w:ind w:left="357" w:hanging="357"/>
        <w:jc w:val="both"/>
        <w:rPr>
          <w:lang w:eastAsia="en-AU"/>
        </w:rPr>
      </w:pPr>
      <w:r w:rsidRPr="00997B92">
        <w:rPr>
          <w:lang w:eastAsia="en-AU"/>
        </w:rPr>
        <w:t>PBS subsidies for smoking cessation supports; and</w:t>
      </w:r>
    </w:p>
    <w:p w:rsidR="00CB756C" w:rsidRPr="00997B92" w:rsidRDefault="00CB756C" w:rsidP="00CB756C">
      <w:pPr>
        <w:numPr>
          <w:ilvl w:val="0"/>
          <w:numId w:val="10"/>
        </w:numPr>
        <w:ind w:left="357" w:hanging="357"/>
        <w:jc w:val="both"/>
      </w:pPr>
      <w:r w:rsidRPr="00997B92">
        <w:rPr>
          <w:lang w:eastAsia="en-AU"/>
        </w:rPr>
        <w:t>Quitlines and other smoking cessation support services in each State and Territory to help people quit.</w:t>
      </w:r>
    </w:p>
    <w:p w:rsidR="00CB756C" w:rsidRPr="00997B92" w:rsidRDefault="00CB756C" w:rsidP="00CB756C">
      <w:pPr>
        <w:pStyle w:val="Heading4"/>
      </w:pPr>
      <w:r w:rsidRPr="00997B92">
        <w:br w:type="page"/>
      </w:r>
      <w:r w:rsidRPr="00997B92">
        <w:lastRenderedPageBreak/>
        <w:t xml:space="preserve">Demographics </w:t>
      </w:r>
    </w:p>
    <w:p w:rsidR="00CB756C" w:rsidRPr="00997B92" w:rsidRDefault="00CB756C" w:rsidP="00CB756C">
      <w:pPr>
        <w:pStyle w:val="Heading5"/>
      </w:pPr>
      <w:r w:rsidRPr="00997B92">
        <w:t>Which stakeholder category do you best identify with?</w:t>
      </w:r>
    </w:p>
    <w:tbl>
      <w:tblPr>
        <w:tblW w:w="95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Demographic table where stakeholders are asked to identify which stakeholder group they are from: Government, Tobacco Industry, Public Health expert or organisation, Non-Government organisation, General Public/Consumer and Other."/>
      </w:tblPr>
      <w:tblGrid>
        <w:gridCol w:w="1416"/>
        <w:gridCol w:w="1410"/>
        <w:gridCol w:w="2163"/>
        <w:gridCol w:w="1636"/>
        <w:gridCol w:w="1497"/>
        <w:gridCol w:w="1381"/>
      </w:tblGrid>
      <w:tr w:rsidR="00CB756C" w:rsidRPr="00997B92" w:rsidTr="009E5945">
        <w:trPr>
          <w:jc w:val="center"/>
        </w:trPr>
        <w:tc>
          <w:tcPr>
            <w:tcW w:w="242" w:type="dxa"/>
            <w:shd w:val="clear" w:color="auto" w:fill="auto"/>
          </w:tcPr>
          <w:p w:rsidR="00CB756C" w:rsidRPr="00997B92" w:rsidRDefault="00CB756C" w:rsidP="009E5945">
            <w:pPr>
              <w:jc w:val="center"/>
            </w:pPr>
            <w:r w:rsidRPr="00997B92">
              <w:t>Government (please specify)</w:t>
            </w:r>
          </w:p>
        </w:tc>
        <w:tc>
          <w:tcPr>
            <w:tcW w:w="1852" w:type="dxa"/>
            <w:shd w:val="clear" w:color="auto" w:fill="auto"/>
          </w:tcPr>
          <w:p w:rsidR="00CB756C" w:rsidRPr="00997B92" w:rsidRDefault="00CB756C" w:rsidP="009E5945">
            <w:pPr>
              <w:jc w:val="center"/>
            </w:pPr>
            <w:r w:rsidRPr="00997B92">
              <w:t>Tobacco Industry (please specify)</w:t>
            </w:r>
          </w:p>
        </w:tc>
        <w:tc>
          <w:tcPr>
            <w:tcW w:w="1852" w:type="dxa"/>
            <w:shd w:val="clear" w:color="auto" w:fill="auto"/>
          </w:tcPr>
          <w:p w:rsidR="00CB756C" w:rsidRPr="00997B92" w:rsidRDefault="00CB756C" w:rsidP="009E5945">
            <w:pPr>
              <w:jc w:val="center"/>
            </w:pPr>
            <w:r w:rsidRPr="00997B92">
              <w:t>Public Health Expert/Organisation (please specify)</w:t>
            </w:r>
          </w:p>
        </w:tc>
        <w:tc>
          <w:tcPr>
            <w:tcW w:w="1852" w:type="dxa"/>
          </w:tcPr>
          <w:p w:rsidR="00CB756C" w:rsidRPr="00997B92" w:rsidRDefault="00CB756C" w:rsidP="009E5945">
            <w:pPr>
              <w:jc w:val="center"/>
            </w:pPr>
            <w:r w:rsidRPr="00997B92">
              <w:t>Non-Government Organisation</w:t>
            </w:r>
          </w:p>
          <w:p w:rsidR="00CB756C" w:rsidRPr="00997B92" w:rsidRDefault="00CB756C" w:rsidP="009E5945">
            <w:pPr>
              <w:jc w:val="center"/>
            </w:pPr>
            <w:r w:rsidRPr="00997B92">
              <w:t>(please specify)</w:t>
            </w:r>
          </w:p>
        </w:tc>
        <w:tc>
          <w:tcPr>
            <w:tcW w:w="1852" w:type="dxa"/>
            <w:shd w:val="clear" w:color="auto" w:fill="auto"/>
          </w:tcPr>
          <w:p w:rsidR="00CB756C" w:rsidRPr="00997B92" w:rsidRDefault="00CB756C" w:rsidP="009E5945">
            <w:pPr>
              <w:jc w:val="center"/>
            </w:pPr>
            <w:r w:rsidRPr="00997B92">
              <w:t>General public/ Consumer</w:t>
            </w:r>
          </w:p>
        </w:tc>
        <w:tc>
          <w:tcPr>
            <w:tcW w:w="1853" w:type="dxa"/>
            <w:shd w:val="clear" w:color="auto" w:fill="auto"/>
          </w:tcPr>
          <w:p w:rsidR="00CB756C" w:rsidRPr="00997B92" w:rsidRDefault="00CB756C" w:rsidP="009E5945">
            <w:pPr>
              <w:jc w:val="center"/>
            </w:pPr>
            <w:r w:rsidRPr="00997B92">
              <w:t>Other (please specify)</w:t>
            </w:r>
          </w:p>
        </w:tc>
      </w:tr>
    </w:tbl>
    <w:p w:rsidR="00CB756C" w:rsidRPr="00F42E8F" w:rsidRDefault="00CB756C" w:rsidP="00CB756C">
      <w:pPr>
        <w:tabs>
          <w:tab w:val="clear" w:pos="357"/>
        </w:tabs>
        <w:rPr>
          <w:rStyle w:val="Strong"/>
        </w:rPr>
      </w:pPr>
      <w:r w:rsidRPr="00F42E8F">
        <w:rPr>
          <w:rStyle w:val="Strong"/>
        </w:rPr>
        <w:t>If the participant indicates they are a consumer:</w:t>
      </w:r>
    </w:p>
    <w:p w:rsidR="00CB756C" w:rsidRPr="00F42E8F" w:rsidRDefault="00CB756C" w:rsidP="00CB756C">
      <w:pPr>
        <w:rPr>
          <w:rStyle w:val="Strong"/>
        </w:rPr>
      </w:pPr>
      <w:r w:rsidRPr="00F42E8F">
        <w:rPr>
          <w:rStyle w:val="Strong"/>
        </w:rPr>
        <w:t>Are you currently a smoker?</w:t>
      </w:r>
    </w:p>
    <w:p w:rsidR="00CB756C" w:rsidRPr="00F42E8F" w:rsidRDefault="00CB756C" w:rsidP="00CB756C">
      <w:pPr>
        <w:pBdr>
          <w:top w:val="single" w:sz="4" w:space="1" w:color="auto"/>
          <w:left w:val="single" w:sz="4" w:space="4" w:color="auto"/>
          <w:bottom w:val="single" w:sz="4" w:space="1" w:color="auto"/>
          <w:right w:val="single" w:sz="4" w:space="4" w:color="auto"/>
        </w:pBdr>
      </w:pPr>
      <w:r>
        <w:fldChar w:fldCharType="begin">
          <w:ffData>
            <w:name w:val="Check1"/>
            <w:enabled/>
            <w:calcOnExit w:val="0"/>
            <w:statusText w:type="text" w:val="Yes, I identify as a smoker. "/>
            <w:checkBox>
              <w:sizeAuto/>
              <w:default w:val="0"/>
            </w:checkBox>
          </w:ffData>
        </w:fldChar>
      </w:r>
      <w:bookmarkStart w:id="184" w:name="Check1"/>
      <w:r>
        <w:instrText xml:space="preserve"> FORMCHECKBOX </w:instrText>
      </w:r>
      <w:r w:rsidR="00CE36BA">
        <w:fldChar w:fldCharType="separate"/>
      </w:r>
      <w:r>
        <w:fldChar w:fldCharType="end"/>
      </w:r>
      <w:bookmarkEnd w:id="184"/>
      <w:r>
        <w:t xml:space="preserve"> </w:t>
      </w:r>
      <w:r w:rsidRPr="00F42E8F">
        <w:t>Yes</w:t>
      </w:r>
    </w:p>
    <w:p w:rsidR="00CB756C" w:rsidRPr="00997B92" w:rsidRDefault="005F5511" w:rsidP="00CB756C">
      <w:pPr>
        <w:pBdr>
          <w:top w:val="single" w:sz="4" w:space="1" w:color="auto"/>
          <w:left w:val="single" w:sz="4" w:space="4" w:color="auto"/>
          <w:bottom w:val="single" w:sz="4" w:space="1" w:color="auto"/>
          <w:right w:val="single" w:sz="4" w:space="4" w:color="auto"/>
        </w:pBdr>
        <w:rPr>
          <w:b/>
        </w:rPr>
      </w:pPr>
      <w:r>
        <w:fldChar w:fldCharType="begin">
          <w:ffData>
            <w:name w:val="Check1"/>
            <w:enabled/>
            <w:calcOnExit w:val="0"/>
            <w:statusText w:type="text" w:val="Yes, I identify as a smoker. "/>
            <w:checkBox>
              <w:sizeAuto/>
              <w:default w:val="0"/>
            </w:checkBox>
          </w:ffData>
        </w:fldChar>
      </w:r>
      <w:r>
        <w:instrText xml:space="preserve"> FORMCHECKBOX </w:instrText>
      </w:r>
      <w:r w:rsidR="00CE36BA">
        <w:fldChar w:fldCharType="separate"/>
      </w:r>
      <w:r>
        <w:fldChar w:fldCharType="end"/>
      </w:r>
      <w:r>
        <w:t xml:space="preserve"> </w:t>
      </w:r>
      <w:r w:rsidR="00CB756C" w:rsidRPr="005F5511">
        <w:t>No</w:t>
      </w:r>
    </w:p>
    <w:p w:rsidR="00CB756C" w:rsidRPr="00F42E8F" w:rsidRDefault="00CB756C" w:rsidP="00CB756C">
      <w:pPr>
        <w:rPr>
          <w:rStyle w:val="Strong"/>
        </w:rPr>
      </w:pPr>
      <w:r w:rsidRPr="00F42E8F">
        <w:rPr>
          <w:rStyle w:val="Strong"/>
        </w:rPr>
        <w:t>Have you been a smoker in the past?</w:t>
      </w:r>
    </w:p>
    <w:p w:rsidR="00CB756C" w:rsidRPr="00F42E8F" w:rsidRDefault="00CB756C" w:rsidP="00CB756C">
      <w:pPr>
        <w:pBdr>
          <w:top w:val="single" w:sz="4" w:space="1" w:color="auto"/>
          <w:left w:val="single" w:sz="4" w:space="4" w:color="auto"/>
          <w:bottom w:val="single" w:sz="4" w:space="1" w:color="auto"/>
          <w:right w:val="single" w:sz="4" w:space="4" w:color="auto"/>
        </w:pBdr>
      </w:pPr>
      <w:r>
        <w:fldChar w:fldCharType="begin">
          <w:ffData>
            <w:name w:val=""/>
            <w:enabled/>
            <w:calcOnExit w:val="0"/>
            <w:statusText w:type="text" w:val="Yes, I have been a smoker in the past. "/>
            <w:checkBox>
              <w:sizeAuto/>
              <w:default w:val="0"/>
            </w:checkBox>
          </w:ffData>
        </w:fldChar>
      </w:r>
      <w:r>
        <w:instrText xml:space="preserve"> FORMCHECKBOX </w:instrText>
      </w:r>
      <w:r w:rsidR="00CE36BA">
        <w:fldChar w:fldCharType="separate"/>
      </w:r>
      <w:r>
        <w:fldChar w:fldCharType="end"/>
      </w:r>
      <w:r>
        <w:t xml:space="preserve"> </w:t>
      </w:r>
      <w:r w:rsidRPr="00F42E8F">
        <w:t>Yes</w:t>
      </w:r>
    </w:p>
    <w:p w:rsidR="00CB756C" w:rsidRPr="00997B92" w:rsidRDefault="005F5511" w:rsidP="00CB756C">
      <w:pPr>
        <w:pBdr>
          <w:top w:val="single" w:sz="4" w:space="1" w:color="auto"/>
          <w:left w:val="single" w:sz="4" w:space="4" w:color="auto"/>
          <w:bottom w:val="single" w:sz="4" w:space="1" w:color="auto"/>
          <w:right w:val="single" w:sz="4" w:space="4" w:color="auto"/>
        </w:pBdr>
        <w:rPr>
          <w:b/>
        </w:rPr>
      </w:pPr>
      <w:r>
        <w:fldChar w:fldCharType="begin">
          <w:ffData>
            <w:name w:val="Check1"/>
            <w:enabled/>
            <w:calcOnExit w:val="0"/>
            <w:statusText w:type="text" w:val="Yes, I identify as a smoker. "/>
            <w:checkBox>
              <w:sizeAuto/>
              <w:default w:val="0"/>
            </w:checkBox>
          </w:ffData>
        </w:fldChar>
      </w:r>
      <w:r>
        <w:instrText xml:space="preserve"> FORMCHECKBOX </w:instrText>
      </w:r>
      <w:r w:rsidR="00CE36BA">
        <w:fldChar w:fldCharType="separate"/>
      </w:r>
      <w:r>
        <w:fldChar w:fldCharType="end"/>
      </w:r>
      <w:r>
        <w:t xml:space="preserve"> </w:t>
      </w:r>
      <w:r w:rsidR="00CB756C" w:rsidRPr="005F5511">
        <w:t>No</w:t>
      </w:r>
    </w:p>
    <w:p w:rsidR="00CB756C" w:rsidRPr="00997B92" w:rsidRDefault="00CB756C" w:rsidP="00371077">
      <w:pPr>
        <w:pStyle w:val="Heading4"/>
      </w:pPr>
      <w:r w:rsidRPr="00997B92">
        <w:br w:type="page"/>
      </w:r>
      <w:r w:rsidRPr="00997B92">
        <w:lastRenderedPageBreak/>
        <w:t>Effectiveness and efficiency of the tobacco plain packaging measure</w:t>
      </w:r>
    </w:p>
    <w:p w:rsidR="00CB756C" w:rsidRPr="00997B92" w:rsidRDefault="00CB756C" w:rsidP="00CB756C">
      <w:r w:rsidRPr="00997B92">
        <w:t>The tobacco plain packaging measure is part of a comprehensive range of tobacco control measures. The questions in this section aim to gather information on whether the tobacco plain packaging measure has been effective and efficient in meeting its objectives.</w:t>
      </w:r>
    </w:p>
    <w:p w:rsidR="00CB756C" w:rsidRPr="00997B92" w:rsidRDefault="00CB756C" w:rsidP="00CB756C">
      <w:pPr>
        <w:pStyle w:val="Heading5"/>
      </w:pPr>
      <w:bookmarkStart w:id="185" w:name="_Toc409528687"/>
      <w:bookmarkStart w:id="186" w:name="_Toc409528755"/>
      <w:r w:rsidRPr="00997B92">
        <w:t>Reducing the appeal of tobacco products to consumers</w:t>
      </w:r>
      <w:bookmarkEnd w:id="185"/>
      <w:bookmarkEnd w:id="186"/>
    </w:p>
    <w:p w:rsidR="00CB756C" w:rsidRPr="00F364AC" w:rsidRDefault="00CB756C" w:rsidP="00CB756C">
      <w:pPr>
        <w:rPr>
          <w:rStyle w:val="Strong"/>
        </w:rPr>
      </w:pPr>
      <w:r w:rsidRPr="00F364AC">
        <w:rPr>
          <w:rStyle w:val="Strong"/>
        </w:rPr>
        <w:t xml:space="preserve">To what extent do you think that the tobacco plain packaging measure, by regulating the retail packaging and appearance of tobacco products, </w:t>
      </w:r>
      <w:proofErr w:type="gramStart"/>
      <w:r w:rsidRPr="00F364AC">
        <w:rPr>
          <w:rStyle w:val="Strong"/>
        </w:rPr>
        <w:t>has:</w:t>
      </w:r>
      <w:proofErr w:type="gram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Questions 1 and 2 ask about the extent to which the tobacco plain packaging measure has reduced the appeal of tobacco products to consumers and whether it did this efficiently. The 5 response options in the table are: Not at all, very little, unsure, somewhat and to a great extent.   "/>
      </w:tblPr>
      <w:tblGrid>
        <w:gridCol w:w="2518"/>
        <w:gridCol w:w="1231"/>
        <w:gridCol w:w="1373"/>
        <w:gridCol w:w="1374"/>
        <w:gridCol w:w="1373"/>
        <w:gridCol w:w="1374"/>
      </w:tblGrid>
      <w:tr w:rsidR="00CB756C" w:rsidRPr="00997B92" w:rsidTr="00D3639E">
        <w:trPr>
          <w:jc w:val="center"/>
        </w:trPr>
        <w:tc>
          <w:tcPr>
            <w:tcW w:w="2518" w:type="dxa"/>
            <w:shd w:val="clear" w:color="auto" w:fill="auto"/>
          </w:tcPr>
          <w:p w:rsidR="00CB756C" w:rsidRPr="00997B92" w:rsidRDefault="00CB756C" w:rsidP="0018586D">
            <w:pPr>
              <w:numPr>
                <w:ilvl w:val="0"/>
                <w:numId w:val="18"/>
              </w:numPr>
              <w:rPr>
                <w:b/>
              </w:rPr>
            </w:pPr>
            <w:r w:rsidRPr="00997B92">
              <w:rPr>
                <w:b/>
                <w:i/>
              </w:rPr>
              <w:t>Reduced the appeal</w:t>
            </w:r>
            <w:r w:rsidRPr="00997B92">
              <w:rPr>
                <w:b/>
              </w:rPr>
              <w:t xml:space="preserve"> of tobacco products to consumers?</w:t>
            </w:r>
          </w:p>
        </w:tc>
        <w:tc>
          <w:tcPr>
            <w:tcW w:w="1231" w:type="dxa"/>
            <w:shd w:val="clear" w:color="auto" w:fill="auto"/>
          </w:tcPr>
          <w:p w:rsidR="00CB756C" w:rsidRPr="00997B92" w:rsidRDefault="00CB756C" w:rsidP="009E5945">
            <w:pPr>
              <w:jc w:val="center"/>
            </w:pPr>
            <w:r w:rsidRPr="00997B92">
              <w:t>Not at all</w:t>
            </w:r>
          </w:p>
        </w:tc>
        <w:tc>
          <w:tcPr>
            <w:tcW w:w="1373" w:type="dxa"/>
            <w:shd w:val="clear" w:color="auto" w:fill="auto"/>
          </w:tcPr>
          <w:p w:rsidR="00CB756C" w:rsidRPr="00997B92" w:rsidRDefault="00CB756C" w:rsidP="009E5945">
            <w:pPr>
              <w:jc w:val="center"/>
            </w:pPr>
            <w:r w:rsidRPr="00997B92">
              <w:t>Very little</w:t>
            </w:r>
          </w:p>
        </w:tc>
        <w:tc>
          <w:tcPr>
            <w:tcW w:w="1374" w:type="dxa"/>
            <w:shd w:val="clear" w:color="auto" w:fill="auto"/>
          </w:tcPr>
          <w:p w:rsidR="00CB756C" w:rsidRPr="00997B92" w:rsidRDefault="00CB756C" w:rsidP="009E5945">
            <w:pPr>
              <w:jc w:val="center"/>
            </w:pPr>
            <w:r w:rsidRPr="00997B92">
              <w:t>Unsure</w:t>
            </w:r>
          </w:p>
        </w:tc>
        <w:tc>
          <w:tcPr>
            <w:tcW w:w="1373" w:type="dxa"/>
            <w:shd w:val="clear" w:color="auto" w:fill="auto"/>
          </w:tcPr>
          <w:p w:rsidR="00CB756C" w:rsidRPr="00997B92" w:rsidRDefault="00CB756C" w:rsidP="009E5945">
            <w:pPr>
              <w:jc w:val="center"/>
            </w:pPr>
            <w:r w:rsidRPr="00997B92">
              <w:t>Somewhat</w:t>
            </w:r>
          </w:p>
        </w:tc>
        <w:tc>
          <w:tcPr>
            <w:tcW w:w="1374" w:type="dxa"/>
            <w:shd w:val="clear" w:color="auto" w:fill="auto"/>
          </w:tcPr>
          <w:p w:rsidR="00CB756C" w:rsidRPr="00997B92" w:rsidRDefault="00CB756C" w:rsidP="009E5945">
            <w:pPr>
              <w:jc w:val="center"/>
            </w:pPr>
            <w:r w:rsidRPr="00997B92">
              <w:t>To a great extent</w:t>
            </w:r>
          </w:p>
        </w:tc>
      </w:tr>
      <w:tr w:rsidR="00CB756C" w:rsidRPr="00997B92" w:rsidTr="00D3639E">
        <w:trPr>
          <w:jc w:val="center"/>
        </w:trPr>
        <w:tc>
          <w:tcPr>
            <w:tcW w:w="2518" w:type="dxa"/>
            <w:shd w:val="clear" w:color="auto" w:fill="auto"/>
          </w:tcPr>
          <w:p w:rsidR="00CB756C" w:rsidRPr="00997B92" w:rsidRDefault="00CB756C" w:rsidP="0018586D">
            <w:pPr>
              <w:numPr>
                <w:ilvl w:val="0"/>
                <w:numId w:val="18"/>
              </w:numPr>
              <w:rPr>
                <w:b/>
              </w:rPr>
            </w:pPr>
            <w:r w:rsidRPr="00997B92">
              <w:rPr>
                <w:b/>
              </w:rPr>
              <w:t xml:space="preserve">Been an </w:t>
            </w:r>
            <w:r w:rsidRPr="00997B92">
              <w:rPr>
                <w:b/>
                <w:i/>
              </w:rPr>
              <w:t>efficient mechanism</w:t>
            </w:r>
            <w:r w:rsidRPr="00997B92">
              <w:rPr>
                <w:b/>
              </w:rPr>
              <w:t xml:space="preserve"> for </w:t>
            </w:r>
            <w:r w:rsidRPr="00997B92">
              <w:rPr>
                <w:b/>
                <w:i/>
              </w:rPr>
              <w:t>reducing the appeal</w:t>
            </w:r>
            <w:r w:rsidRPr="00997B92">
              <w:rPr>
                <w:b/>
              </w:rPr>
              <w:t xml:space="preserve"> of tobacco products to consumers?</w:t>
            </w:r>
          </w:p>
        </w:tc>
        <w:tc>
          <w:tcPr>
            <w:tcW w:w="1231" w:type="dxa"/>
            <w:shd w:val="clear" w:color="auto" w:fill="auto"/>
          </w:tcPr>
          <w:p w:rsidR="00CB756C" w:rsidRPr="00997B92" w:rsidRDefault="00CB756C" w:rsidP="009E5945">
            <w:pPr>
              <w:jc w:val="center"/>
            </w:pPr>
            <w:r w:rsidRPr="00997B92">
              <w:t>Not at all</w:t>
            </w:r>
          </w:p>
        </w:tc>
        <w:tc>
          <w:tcPr>
            <w:tcW w:w="1373" w:type="dxa"/>
            <w:shd w:val="clear" w:color="auto" w:fill="auto"/>
          </w:tcPr>
          <w:p w:rsidR="00CB756C" w:rsidRPr="00997B92" w:rsidRDefault="00CB756C" w:rsidP="009E5945">
            <w:pPr>
              <w:jc w:val="center"/>
            </w:pPr>
            <w:r w:rsidRPr="00997B92">
              <w:t>Very little</w:t>
            </w:r>
          </w:p>
        </w:tc>
        <w:tc>
          <w:tcPr>
            <w:tcW w:w="1374" w:type="dxa"/>
            <w:shd w:val="clear" w:color="auto" w:fill="auto"/>
          </w:tcPr>
          <w:p w:rsidR="00CB756C" w:rsidRPr="00997B92" w:rsidRDefault="00CB756C" w:rsidP="009E5945">
            <w:pPr>
              <w:jc w:val="center"/>
            </w:pPr>
            <w:r w:rsidRPr="00997B92">
              <w:t>Unsure</w:t>
            </w:r>
          </w:p>
        </w:tc>
        <w:tc>
          <w:tcPr>
            <w:tcW w:w="1373" w:type="dxa"/>
            <w:shd w:val="clear" w:color="auto" w:fill="auto"/>
          </w:tcPr>
          <w:p w:rsidR="00CB756C" w:rsidRPr="00997B92" w:rsidRDefault="00CB756C" w:rsidP="009E5945">
            <w:pPr>
              <w:jc w:val="center"/>
            </w:pPr>
            <w:r w:rsidRPr="00997B92">
              <w:t>Somewhat</w:t>
            </w:r>
          </w:p>
        </w:tc>
        <w:tc>
          <w:tcPr>
            <w:tcW w:w="1374" w:type="dxa"/>
            <w:shd w:val="clear" w:color="auto" w:fill="auto"/>
          </w:tcPr>
          <w:p w:rsidR="00CB756C" w:rsidRPr="00997B92" w:rsidRDefault="00CB756C" w:rsidP="009E5945">
            <w:pPr>
              <w:jc w:val="center"/>
            </w:pPr>
            <w:r w:rsidRPr="00997B92">
              <w:t>To a great extent</w:t>
            </w:r>
          </w:p>
        </w:tc>
      </w:tr>
    </w:tbl>
    <w:p w:rsidR="00CB756C" w:rsidRPr="00F364AC" w:rsidRDefault="00CB756C" w:rsidP="0018586D">
      <w:pPr>
        <w:numPr>
          <w:ilvl w:val="0"/>
          <w:numId w:val="18"/>
        </w:numPr>
        <w:jc w:val="both"/>
        <w:rPr>
          <w:rStyle w:val="Strong"/>
        </w:rPr>
      </w:pPr>
      <w:r w:rsidRPr="00F364AC">
        <w:rPr>
          <w:rStyle w:val="Strong"/>
        </w:rPr>
        <w:t>On what basis do you make these judgements? (500 word limit; if you do not wish to provide a response please insert N/A)</w:t>
      </w:r>
    </w:p>
    <w:sdt>
      <w:sdtPr>
        <w:alias w:val="What is the appeal of tobacco product to consumer"/>
        <w:tag w:val="Respond to: What is the tobacco appeal to consumers?"/>
        <w:id w:val="-1404833896"/>
      </w:sdtPr>
      <w:sdtEndPr/>
      <w:sdtContent>
        <w:p w:rsidR="00CB756C" w:rsidRPr="00724E9D" w:rsidRDefault="00CB756C" w:rsidP="00CB756C">
          <w:pPr>
            <w:pBdr>
              <w:top w:val="single" w:sz="4" w:space="1" w:color="auto"/>
              <w:left w:val="single" w:sz="4" w:space="4" w:color="auto"/>
              <w:bottom w:val="single" w:sz="4" w:space="1" w:color="auto"/>
              <w:right w:val="single" w:sz="4" w:space="4" w:color="auto"/>
            </w:pBdr>
          </w:pPr>
          <w:r w:rsidRPr="00997B92">
            <w:t>INSERT RESPONSE</w:t>
          </w:r>
        </w:p>
      </w:sdtContent>
    </w:sdt>
    <w:p w:rsidR="00CB756C" w:rsidRPr="00997B92" w:rsidRDefault="00CB756C" w:rsidP="00CB756C">
      <w:r w:rsidRPr="00997B92">
        <w:t xml:space="preserve">If you wish to submit supporting documentation and/or data which relate to these questions please make note of the </w:t>
      </w:r>
      <w:r w:rsidRPr="00724E9D">
        <w:rPr>
          <w:rStyle w:val="Strong"/>
        </w:rPr>
        <w:t>question number</w:t>
      </w:r>
      <w:r w:rsidRPr="00997B92">
        <w:t xml:space="preserve"> and submit this along with your </w:t>
      </w:r>
      <w:r w:rsidRPr="00724E9D">
        <w:rPr>
          <w:rStyle w:val="Strong"/>
        </w:rPr>
        <w:t>Response ID</w:t>
      </w:r>
      <w:r w:rsidRPr="00997B92">
        <w:t xml:space="preserve"> (found on the thank you page once you have completed your response) to: </w:t>
      </w:r>
      <w:r w:rsidRPr="001A6953">
        <w:t>plainpackaging@sigginsmiller.com.au.</w:t>
      </w:r>
    </w:p>
    <w:p w:rsidR="00CB756C" w:rsidRPr="00997B92" w:rsidRDefault="00CB756C" w:rsidP="00D3639E">
      <w:pPr>
        <w:pStyle w:val="Heading5"/>
      </w:pPr>
      <w:bookmarkStart w:id="187" w:name="_Toc409528688"/>
      <w:bookmarkStart w:id="188" w:name="_Toc409528756"/>
      <w:r w:rsidRPr="00997B92">
        <w:t>Increasing the effectiveness of health warnings on the retail packaging of tobacco products</w:t>
      </w:r>
      <w:bookmarkEnd w:id="187"/>
      <w:bookmarkEnd w:id="188"/>
      <w:r w:rsidRPr="00997B92">
        <w:t xml:space="preserve"> </w:t>
      </w:r>
    </w:p>
    <w:p w:rsidR="00CB756C" w:rsidRPr="00724E9D" w:rsidRDefault="00CB756C" w:rsidP="00CB756C">
      <w:pPr>
        <w:rPr>
          <w:rStyle w:val="Strong"/>
        </w:rPr>
      </w:pPr>
      <w:r w:rsidRPr="00724E9D">
        <w:rPr>
          <w:rStyle w:val="Strong"/>
        </w:rPr>
        <w:t xml:space="preserve">To what extent do you think that the tobacco plain packaging measure, by regulating the retail packaging and appearance of tobacco products, </w:t>
      </w:r>
      <w:proofErr w:type="gramStart"/>
      <w:r w:rsidRPr="00724E9D">
        <w:rPr>
          <w:rStyle w:val="Strong"/>
        </w:rPr>
        <w:t>has:</w:t>
      </w:r>
      <w:proofErr w:type="gram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Questions 4 and 5 ask about the extent to which the tobacco plain packaging measure has increased the effectiveness of health warnings and whether it did this efficiently.  The 5 response options in the table are: Not at all, very little, unsure, somewhat and to a great extent."/>
      </w:tblPr>
      <w:tblGrid>
        <w:gridCol w:w="2518"/>
        <w:gridCol w:w="1231"/>
        <w:gridCol w:w="1373"/>
        <w:gridCol w:w="1374"/>
        <w:gridCol w:w="1373"/>
        <w:gridCol w:w="1374"/>
      </w:tblGrid>
      <w:tr w:rsidR="00CB756C" w:rsidRPr="00997B92" w:rsidTr="00D3639E">
        <w:trPr>
          <w:jc w:val="center"/>
        </w:trPr>
        <w:tc>
          <w:tcPr>
            <w:tcW w:w="2518" w:type="dxa"/>
            <w:shd w:val="clear" w:color="auto" w:fill="auto"/>
          </w:tcPr>
          <w:p w:rsidR="00CB756C" w:rsidRPr="00997B92" w:rsidRDefault="00CB756C" w:rsidP="0018586D">
            <w:pPr>
              <w:numPr>
                <w:ilvl w:val="0"/>
                <w:numId w:val="18"/>
              </w:numPr>
              <w:rPr>
                <w:b/>
              </w:rPr>
            </w:pPr>
            <w:r w:rsidRPr="00997B92">
              <w:rPr>
                <w:b/>
              </w:rPr>
              <w:t xml:space="preserve">Increased the </w:t>
            </w:r>
            <w:r w:rsidRPr="00997B92">
              <w:rPr>
                <w:b/>
                <w:i/>
              </w:rPr>
              <w:t>effectiveness of health warnings</w:t>
            </w:r>
            <w:r w:rsidRPr="00997B92">
              <w:rPr>
                <w:b/>
              </w:rPr>
              <w:t xml:space="preserve"> on retail packaging of tobacco products?</w:t>
            </w:r>
          </w:p>
        </w:tc>
        <w:tc>
          <w:tcPr>
            <w:tcW w:w="1231" w:type="dxa"/>
            <w:shd w:val="clear" w:color="auto" w:fill="auto"/>
          </w:tcPr>
          <w:p w:rsidR="00CB756C" w:rsidRPr="00997B92" w:rsidRDefault="00CB756C" w:rsidP="009E5945">
            <w:pPr>
              <w:jc w:val="center"/>
            </w:pPr>
            <w:r w:rsidRPr="00997B92">
              <w:t>Not at all</w:t>
            </w:r>
          </w:p>
        </w:tc>
        <w:tc>
          <w:tcPr>
            <w:tcW w:w="1373" w:type="dxa"/>
            <w:shd w:val="clear" w:color="auto" w:fill="auto"/>
          </w:tcPr>
          <w:p w:rsidR="00CB756C" w:rsidRPr="00997B92" w:rsidRDefault="00CB756C" w:rsidP="009E5945">
            <w:pPr>
              <w:jc w:val="center"/>
            </w:pPr>
            <w:r w:rsidRPr="00997B92">
              <w:t>Very little</w:t>
            </w:r>
          </w:p>
        </w:tc>
        <w:tc>
          <w:tcPr>
            <w:tcW w:w="1374" w:type="dxa"/>
            <w:shd w:val="clear" w:color="auto" w:fill="auto"/>
          </w:tcPr>
          <w:p w:rsidR="00CB756C" w:rsidRPr="00997B92" w:rsidRDefault="00CB756C" w:rsidP="009E5945">
            <w:pPr>
              <w:jc w:val="center"/>
            </w:pPr>
            <w:r w:rsidRPr="00997B92">
              <w:t>Unsure</w:t>
            </w:r>
          </w:p>
        </w:tc>
        <w:tc>
          <w:tcPr>
            <w:tcW w:w="1373" w:type="dxa"/>
            <w:shd w:val="clear" w:color="auto" w:fill="auto"/>
          </w:tcPr>
          <w:p w:rsidR="00CB756C" w:rsidRPr="00997B92" w:rsidRDefault="00CB756C" w:rsidP="009E5945">
            <w:pPr>
              <w:jc w:val="center"/>
            </w:pPr>
            <w:r w:rsidRPr="00997B92">
              <w:t>Somewhat</w:t>
            </w:r>
          </w:p>
        </w:tc>
        <w:tc>
          <w:tcPr>
            <w:tcW w:w="1374" w:type="dxa"/>
            <w:shd w:val="clear" w:color="auto" w:fill="auto"/>
          </w:tcPr>
          <w:p w:rsidR="00CB756C" w:rsidRPr="00997B92" w:rsidRDefault="00CB756C" w:rsidP="009E5945">
            <w:pPr>
              <w:jc w:val="center"/>
            </w:pPr>
            <w:r w:rsidRPr="00997B92">
              <w:t>To a great extent</w:t>
            </w:r>
          </w:p>
        </w:tc>
      </w:tr>
      <w:tr w:rsidR="00CB756C" w:rsidRPr="00997B92" w:rsidTr="00D3639E">
        <w:trPr>
          <w:jc w:val="center"/>
        </w:trPr>
        <w:tc>
          <w:tcPr>
            <w:tcW w:w="2518" w:type="dxa"/>
            <w:shd w:val="clear" w:color="auto" w:fill="auto"/>
          </w:tcPr>
          <w:p w:rsidR="00CB756C" w:rsidRPr="00997B92" w:rsidRDefault="00CB756C" w:rsidP="0018586D">
            <w:pPr>
              <w:numPr>
                <w:ilvl w:val="0"/>
                <w:numId w:val="18"/>
              </w:numPr>
              <w:rPr>
                <w:b/>
              </w:rPr>
            </w:pPr>
            <w:r w:rsidRPr="00997B92">
              <w:rPr>
                <w:b/>
              </w:rPr>
              <w:t xml:space="preserve">Been an </w:t>
            </w:r>
            <w:r w:rsidRPr="00997B92">
              <w:rPr>
                <w:b/>
                <w:i/>
              </w:rPr>
              <w:t>efficient mechanism</w:t>
            </w:r>
            <w:r w:rsidRPr="00997B92">
              <w:rPr>
                <w:b/>
              </w:rPr>
              <w:t xml:space="preserve"> for increasing the </w:t>
            </w:r>
            <w:r w:rsidRPr="00997B92">
              <w:rPr>
                <w:b/>
                <w:i/>
              </w:rPr>
              <w:t>effectiveness</w:t>
            </w:r>
            <w:r w:rsidRPr="00997B92">
              <w:rPr>
                <w:b/>
              </w:rPr>
              <w:t xml:space="preserve"> </w:t>
            </w:r>
            <w:r w:rsidRPr="00997B92">
              <w:rPr>
                <w:b/>
                <w:i/>
              </w:rPr>
              <w:t>of health warnings</w:t>
            </w:r>
            <w:r w:rsidRPr="00997B92">
              <w:rPr>
                <w:b/>
              </w:rPr>
              <w:t xml:space="preserve"> on retail packaging of tobacco products?</w:t>
            </w:r>
          </w:p>
        </w:tc>
        <w:tc>
          <w:tcPr>
            <w:tcW w:w="1231" w:type="dxa"/>
            <w:shd w:val="clear" w:color="auto" w:fill="auto"/>
          </w:tcPr>
          <w:p w:rsidR="00CB756C" w:rsidRPr="00997B92" w:rsidRDefault="00CB756C" w:rsidP="009E5945">
            <w:pPr>
              <w:jc w:val="center"/>
            </w:pPr>
            <w:r w:rsidRPr="00997B92">
              <w:t>Not at all</w:t>
            </w:r>
          </w:p>
        </w:tc>
        <w:tc>
          <w:tcPr>
            <w:tcW w:w="1373" w:type="dxa"/>
            <w:shd w:val="clear" w:color="auto" w:fill="auto"/>
          </w:tcPr>
          <w:p w:rsidR="00CB756C" w:rsidRPr="00997B92" w:rsidRDefault="00CB756C" w:rsidP="009E5945">
            <w:pPr>
              <w:jc w:val="center"/>
            </w:pPr>
            <w:r w:rsidRPr="00997B92">
              <w:t>Very little</w:t>
            </w:r>
          </w:p>
        </w:tc>
        <w:tc>
          <w:tcPr>
            <w:tcW w:w="1374" w:type="dxa"/>
            <w:shd w:val="clear" w:color="auto" w:fill="auto"/>
          </w:tcPr>
          <w:p w:rsidR="00CB756C" w:rsidRPr="00997B92" w:rsidRDefault="00CB756C" w:rsidP="009E5945">
            <w:pPr>
              <w:jc w:val="center"/>
            </w:pPr>
            <w:r w:rsidRPr="00997B92">
              <w:t>Unsure</w:t>
            </w:r>
          </w:p>
        </w:tc>
        <w:tc>
          <w:tcPr>
            <w:tcW w:w="1373" w:type="dxa"/>
            <w:shd w:val="clear" w:color="auto" w:fill="auto"/>
          </w:tcPr>
          <w:p w:rsidR="00CB756C" w:rsidRPr="00997B92" w:rsidRDefault="00CB756C" w:rsidP="009E5945">
            <w:pPr>
              <w:jc w:val="center"/>
            </w:pPr>
            <w:r w:rsidRPr="00997B92">
              <w:t>Somewhat</w:t>
            </w:r>
          </w:p>
        </w:tc>
        <w:tc>
          <w:tcPr>
            <w:tcW w:w="1374" w:type="dxa"/>
            <w:shd w:val="clear" w:color="auto" w:fill="auto"/>
          </w:tcPr>
          <w:p w:rsidR="00CB756C" w:rsidRPr="00997B92" w:rsidRDefault="00CB756C" w:rsidP="009E5945">
            <w:pPr>
              <w:jc w:val="center"/>
            </w:pPr>
            <w:r w:rsidRPr="00997B92">
              <w:t>To a great extent</w:t>
            </w:r>
          </w:p>
        </w:tc>
      </w:tr>
    </w:tbl>
    <w:p w:rsidR="00CB756C" w:rsidRPr="00F364AC" w:rsidRDefault="00CB756C" w:rsidP="00D3639E">
      <w:pPr>
        <w:keepNext/>
        <w:numPr>
          <w:ilvl w:val="0"/>
          <w:numId w:val="18"/>
        </w:numPr>
        <w:ind w:left="357" w:hanging="357"/>
        <w:jc w:val="both"/>
        <w:rPr>
          <w:rStyle w:val="Strong"/>
        </w:rPr>
      </w:pPr>
      <w:r w:rsidRPr="00F364AC">
        <w:rPr>
          <w:rStyle w:val="Strong"/>
        </w:rPr>
        <w:lastRenderedPageBreak/>
        <w:t>On what basis do you make these judgements? (500 word limit; if you do not wish to provide a response please insert N/A)</w:t>
      </w:r>
    </w:p>
    <w:sdt>
      <w:sdtPr>
        <w:alias w:val="How effective has plain packaging been against health warnings?"/>
        <w:tag w:val="How effective has plain packaging been against health warnings?"/>
        <w:id w:val="136388851"/>
      </w:sdtPr>
      <w:sdtEndPr/>
      <w:sdtContent>
        <w:p w:rsidR="00CB756C" w:rsidRPr="00997B92" w:rsidRDefault="00CB756C" w:rsidP="00CB756C">
          <w:pPr>
            <w:pBdr>
              <w:top w:val="single" w:sz="4" w:space="1" w:color="auto"/>
              <w:left w:val="single" w:sz="4" w:space="4" w:color="auto"/>
              <w:bottom w:val="single" w:sz="4" w:space="1" w:color="auto"/>
              <w:right w:val="single" w:sz="4" w:space="4" w:color="auto"/>
            </w:pBdr>
            <w:rPr>
              <w:b/>
            </w:rPr>
          </w:pPr>
          <w:r w:rsidRPr="00997B92">
            <w:t>INSERT RESPONSE</w:t>
          </w:r>
        </w:p>
      </w:sdtContent>
    </w:sdt>
    <w:p w:rsidR="00CB756C" w:rsidRPr="00997B92" w:rsidRDefault="00CB756C" w:rsidP="00CB756C">
      <w:r w:rsidRPr="00997B92">
        <w:t xml:space="preserve">If you wish to submit supporting documentation and/or data which relate to these questions please make note of the </w:t>
      </w:r>
      <w:r w:rsidRPr="00F364AC">
        <w:rPr>
          <w:rStyle w:val="Strong"/>
        </w:rPr>
        <w:t>question number</w:t>
      </w:r>
      <w:r w:rsidRPr="00997B92">
        <w:t xml:space="preserve"> and submit this along with your </w:t>
      </w:r>
      <w:r w:rsidRPr="00F364AC">
        <w:rPr>
          <w:rStyle w:val="Strong"/>
        </w:rPr>
        <w:t>Response ID</w:t>
      </w:r>
      <w:r w:rsidRPr="00997B92">
        <w:t xml:space="preserve"> (found on the thank you page once you have completed your response) to: </w:t>
      </w:r>
      <w:r w:rsidRPr="001A6953">
        <w:t>plainpackaging@sigginsmiller.com.au.</w:t>
      </w:r>
    </w:p>
    <w:p w:rsidR="00CB756C" w:rsidRPr="00997B92" w:rsidRDefault="00CB756C" w:rsidP="00CB756C">
      <w:pPr>
        <w:pStyle w:val="Heading5"/>
      </w:pPr>
      <w:bookmarkStart w:id="189" w:name="_Toc409528689"/>
      <w:bookmarkStart w:id="190" w:name="_Toc409528757"/>
      <w:r w:rsidRPr="00997B92">
        <w:t>Reducing the ability of the retail packaging of tobacco products to mislead consumers about the harmful effects of smoking or using tobacco products</w:t>
      </w:r>
      <w:bookmarkEnd w:id="189"/>
      <w:bookmarkEnd w:id="190"/>
    </w:p>
    <w:p w:rsidR="00CB756C" w:rsidRPr="00F364AC" w:rsidRDefault="00CB756C" w:rsidP="00CB756C">
      <w:pPr>
        <w:rPr>
          <w:rStyle w:val="Strong"/>
        </w:rPr>
      </w:pPr>
      <w:r w:rsidRPr="00F364AC">
        <w:rPr>
          <w:rStyle w:val="Strong"/>
        </w:rPr>
        <w:t xml:space="preserve">To what extent do you think that the tobacco plain packaging measure, by regulating the retail packaging and appearance of tobacco products, </w:t>
      </w:r>
      <w:proofErr w:type="gramStart"/>
      <w:r w:rsidRPr="00F364AC">
        <w:rPr>
          <w:rStyle w:val="Strong"/>
        </w:rPr>
        <w:t>has:</w:t>
      </w:r>
      <w:proofErr w:type="gram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Questions 7 and 8 ask about the extent to which the tobacco plain packaging measure has reduced the ability of retail packaging to mislead consumers and whether it did this efficiently. The 5 response options in the table are: Not at all, very little, unsure, somewhat and to a great extent."/>
      </w:tblPr>
      <w:tblGrid>
        <w:gridCol w:w="2518"/>
        <w:gridCol w:w="1231"/>
        <w:gridCol w:w="1373"/>
        <w:gridCol w:w="1374"/>
        <w:gridCol w:w="1373"/>
        <w:gridCol w:w="1374"/>
      </w:tblGrid>
      <w:tr w:rsidR="00CB756C" w:rsidRPr="00997B92" w:rsidTr="00D3639E">
        <w:trPr>
          <w:jc w:val="center"/>
        </w:trPr>
        <w:tc>
          <w:tcPr>
            <w:tcW w:w="2518" w:type="dxa"/>
            <w:shd w:val="clear" w:color="auto" w:fill="auto"/>
          </w:tcPr>
          <w:p w:rsidR="00CB756C" w:rsidRPr="00997B92" w:rsidRDefault="00CB756C" w:rsidP="0018586D">
            <w:pPr>
              <w:numPr>
                <w:ilvl w:val="0"/>
                <w:numId w:val="18"/>
              </w:numPr>
              <w:rPr>
                <w:b/>
              </w:rPr>
            </w:pPr>
            <w:r w:rsidRPr="00997B92">
              <w:rPr>
                <w:b/>
                <w:i/>
              </w:rPr>
              <w:t>Reduced the ability of the retail packaging of tobacco products to mislead consumers</w:t>
            </w:r>
            <w:r w:rsidRPr="00997B92">
              <w:rPr>
                <w:b/>
              </w:rPr>
              <w:t xml:space="preserve"> about the harmful effects of smoking or using tobacco products?</w:t>
            </w:r>
          </w:p>
        </w:tc>
        <w:tc>
          <w:tcPr>
            <w:tcW w:w="1231" w:type="dxa"/>
            <w:shd w:val="clear" w:color="auto" w:fill="auto"/>
          </w:tcPr>
          <w:p w:rsidR="00CB756C" w:rsidRPr="00997B92" w:rsidRDefault="00CB756C" w:rsidP="009E5945">
            <w:pPr>
              <w:jc w:val="center"/>
            </w:pPr>
            <w:r w:rsidRPr="00997B92">
              <w:t>Not at all</w:t>
            </w:r>
          </w:p>
        </w:tc>
        <w:tc>
          <w:tcPr>
            <w:tcW w:w="1373" w:type="dxa"/>
            <w:shd w:val="clear" w:color="auto" w:fill="auto"/>
          </w:tcPr>
          <w:p w:rsidR="00CB756C" w:rsidRPr="00997B92" w:rsidRDefault="00CB756C" w:rsidP="009E5945">
            <w:pPr>
              <w:jc w:val="center"/>
            </w:pPr>
            <w:r w:rsidRPr="00997B92">
              <w:t>Very little</w:t>
            </w:r>
          </w:p>
        </w:tc>
        <w:tc>
          <w:tcPr>
            <w:tcW w:w="1374" w:type="dxa"/>
            <w:shd w:val="clear" w:color="auto" w:fill="auto"/>
          </w:tcPr>
          <w:p w:rsidR="00CB756C" w:rsidRPr="00997B92" w:rsidRDefault="00CB756C" w:rsidP="009E5945">
            <w:pPr>
              <w:jc w:val="center"/>
            </w:pPr>
            <w:r w:rsidRPr="00997B92">
              <w:t>Unsure</w:t>
            </w:r>
          </w:p>
        </w:tc>
        <w:tc>
          <w:tcPr>
            <w:tcW w:w="1373" w:type="dxa"/>
            <w:shd w:val="clear" w:color="auto" w:fill="auto"/>
          </w:tcPr>
          <w:p w:rsidR="00CB756C" w:rsidRPr="00997B92" w:rsidRDefault="00CB756C" w:rsidP="009E5945">
            <w:pPr>
              <w:jc w:val="center"/>
            </w:pPr>
            <w:r w:rsidRPr="00997B92">
              <w:t>Somewhat</w:t>
            </w:r>
          </w:p>
        </w:tc>
        <w:tc>
          <w:tcPr>
            <w:tcW w:w="1374" w:type="dxa"/>
            <w:shd w:val="clear" w:color="auto" w:fill="auto"/>
          </w:tcPr>
          <w:p w:rsidR="00CB756C" w:rsidRPr="00997B92" w:rsidRDefault="00CB756C" w:rsidP="009E5945">
            <w:pPr>
              <w:jc w:val="center"/>
            </w:pPr>
            <w:r w:rsidRPr="00997B92">
              <w:t>To a great extent</w:t>
            </w:r>
          </w:p>
        </w:tc>
      </w:tr>
      <w:tr w:rsidR="00CB756C" w:rsidRPr="00997B92" w:rsidTr="00D3639E">
        <w:trPr>
          <w:jc w:val="center"/>
        </w:trPr>
        <w:tc>
          <w:tcPr>
            <w:tcW w:w="2518" w:type="dxa"/>
            <w:shd w:val="clear" w:color="auto" w:fill="auto"/>
          </w:tcPr>
          <w:p w:rsidR="00CB756C" w:rsidRPr="00997B92" w:rsidRDefault="00CB756C" w:rsidP="0018586D">
            <w:pPr>
              <w:numPr>
                <w:ilvl w:val="0"/>
                <w:numId w:val="18"/>
              </w:numPr>
              <w:rPr>
                <w:b/>
              </w:rPr>
            </w:pPr>
            <w:r w:rsidRPr="00997B92">
              <w:rPr>
                <w:b/>
              </w:rPr>
              <w:t xml:space="preserve">Been an </w:t>
            </w:r>
            <w:r w:rsidRPr="00997B92">
              <w:rPr>
                <w:b/>
                <w:i/>
              </w:rPr>
              <w:t>efficient mechanism</w:t>
            </w:r>
            <w:r w:rsidRPr="00997B92">
              <w:rPr>
                <w:b/>
              </w:rPr>
              <w:t xml:space="preserve"> for </w:t>
            </w:r>
            <w:r w:rsidRPr="00997B92">
              <w:rPr>
                <w:b/>
                <w:i/>
              </w:rPr>
              <w:t>reducing the ability of retail packaging of tobacco products to mislead consumers</w:t>
            </w:r>
            <w:r w:rsidRPr="00997B92">
              <w:rPr>
                <w:b/>
              </w:rPr>
              <w:t xml:space="preserve"> about the harmful effects of smoking or using tobacco products?</w:t>
            </w:r>
          </w:p>
        </w:tc>
        <w:tc>
          <w:tcPr>
            <w:tcW w:w="1231" w:type="dxa"/>
            <w:shd w:val="clear" w:color="auto" w:fill="auto"/>
          </w:tcPr>
          <w:p w:rsidR="00CB756C" w:rsidRPr="00997B92" w:rsidRDefault="00CB756C" w:rsidP="009E5945">
            <w:pPr>
              <w:jc w:val="center"/>
            </w:pPr>
            <w:r w:rsidRPr="00997B92">
              <w:t>Not at all</w:t>
            </w:r>
          </w:p>
        </w:tc>
        <w:tc>
          <w:tcPr>
            <w:tcW w:w="1373" w:type="dxa"/>
            <w:shd w:val="clear" w:color="auto" w:fill="auto"/>
          </w:tcPr>
          <w:p w:rsidR="00CB756C" w:rsidRPr="00997B92" w:rsidRDefault="00CB756C" w:rsidP="009E5945">
            <w:pPr>
              <w:jc w:val="center"/>
            </w:pPr>
            <w:r w:rsidRPr="00997B92">
              <w:t>Very little</w:t>
            </w:r>
          </w:p>
        </w:tc>
        <w:tc>
          <w:tcPr>
            <w:tcW w:w="1374" w:type="dxa"/>
            <w:shd w:val="clear" w:color="auto" w:fill="auto"/>
          </w:tcPr>
          <w:p w:rsidR="00CB756C" w:rsidRPr="00997B92" w:rsidRDefault="00CB756C" w:rsidP="009E5945">
            <w:pPr>
              <w:jc w:val="center"/>
            </w:pPr>
            <w:r w:rsidRPr="00997B92">
              <w:t>Unsure</w:t>
            </w:r>
          </w:p>
        </w:tc>
        <w:tc>
          <w:tcPr>
            <w:tcW w:w="1373" w:type="dxa"/>
            <w:shd w:val="clear" w:color="auto" w:fill="auto"/>
          </w:tcPr>
          <w:p w:rsidR="00CB756C" w:rsidRPr="00997B92" w:rsidRDefault="00CB756C" w:rsidP="009E5945">
            <w:pPr>
              <w:jc w:val="center"/>
            </w:pPr>
            <w:r w:rsidRPr="00997B92">
              <w:t>Somewhat</w:t>
            </w:r>
          </w:p>
        </w:tc>
        <w:tc>
          <w:tcPr>
            <w:tcW w:w="1374" w:type="dxa"/>
            <w:shd w:val="clear" w:color="auto" w:fill="auto"/>
          </w:tcPr>
          <w:p w:rsidR="00CB756C" w:rsidRPr="00997B92" w:rsidRDefault="00CB756C" w:rsidP="009E5945">
            <w:pPr>
              <w:jc w:val="center"/>
            </w:pPr>
            <w:r w:rsidRPr="00997B92">
              <w:t>To a great extent</w:t>
            </w:r>
          </w:p>
        </w:tc>
      </w:tr>
    </w:tbl>
    <w:p w:rsidR="00CB756C" w:rsidRDefault="00CB756C" w:rsidP="0018586D">
      <w:pPr>
        <w:numPr>
          <w:ilvl w:val="0"/>
          <w:numId w:val="18"/>
        </w:numPr>
        <w:jc w:val="both"/>
        <w:rPr>
          <w:b/>
        </w:rPr>
      </w:pPr>
      <w:r w:rsidRPr="00997B92">
        <w:rPr>
          <w:b/>
        </w:rPr>
        <w:t>On what basis do you make these judgements? (500 word limit; if you do not wish to provide a response please insert N/A)</w:t>
      </w:r>
    </w:p>
    <w:sdt>
      <w:sdtPr>
        <w:alias w:val="How has plain packaging reduced or effected retail to mislead?"/>
        <w:tag w:val="How has plain packaging reduced or effected retail to mislead?"/>
        <w:id w:val="-319806448"/>
      </w:sdtPr>
      <w:sdtEndPr/>
      <w:sdtContent>
        <w:p w:rsidR="00CB756C" w:rsidRPr="00997B92" w:rsidRDefault="00CB756C" w:rsidP="00CB756C">
          <w:pPr>
            <w:pBdr>
              <w:top w:val="single" w:sz="4" w:space="1" w:color="auto"/>
              <w:left w:val="single" w:sz="4" w:space="4" w:color="auto"/>
              <w:bottom w:val="single" w:sz="4" w:space="1" w:color="auto"/>
              <w:right w:val="single" w:sz="4" w:space="4" w:color="auto"/>
            </w:pBdr>
            <w:rPr>
              <w:b/>
            </w:rPr>
          </w:pPr>
          <w:r w:rsidRPr="00997B92">
            <w:t>INSERT RESPONSE</w:t>
          </w:r>
        </w:p>
      </w:sdtContent>
    </w:sdt>
    <w:p w:rsidR="00CB756C" w:rsidRPr="001A6953" w:rsidRDefault="00CB756C" w:rsidP="00CB756C">
      <w:r w:rsidRPr="00997B92">
        <w:t xml:space="preserve">If you wish to submit supporting documentation and/or data which relate to these questions please make note of the </w:t>
      </w:r>
      <w:r w:rsidRPr="00CA0487">
        <w:rPr>
          <w:rStyle w:val="Strong"/>
        </w:rPr>
        <w:t>question number</w:t>
      </w:r>
      <w:r w:rsidRPr="00997B92">
        <w:t xml:space="preserve"> and submit this along with your </w:t>
      </w:r>
      <w:r w:rsidRPr="00CA0487">
        <w:rPr>
          <w:rStyle w:val="Strong"/>
        </w:rPr>
        <w:t>Response ID</w:t>
      </w:r>
      <w:r w:rsidRPr="00997B92">
        <w:t xml:space="preserve"> (found on the thank you page once you have completed your response) to: </w:t>
      </w:r>
      <w:r w:rsidRPr="001A6953">
        <w:t>plainpackaging@sigginsmiller.com.au.</w:t>
      </w:r>
    </w:p>
    <w:p w:rsidR="00CB756C" w:rsidRPr="00997B92" w:rsidRDefault="00CB756C" w:rsidP="00CB756C">
      <w:pPr>
        <w:pStyle w:val="Heading4"/>
      </w:pPr>
      <w:r w:rsidRPr="00997B92">
        <w:br w:type="page"/>
      </w:r>
      <w:bookmarkStart w:id="191" w:name="_Toc409528758"/>
      <w:r w:rsidRPr="00997B92">
        <w:lastRenderedPageBreak/>
        <w:t>Public Health</w:t>
      </w:r>
      <w:bookmarkEnd w:id="191"/>
    </w:p>
    <w:p w:rsidR="00CB756C" w:rsidRPr="00997B92" w:rsidRDefault="00CB756C" w:rsidP="00CB756C">
      <w:r w:rsidRPr="00997B92">
        <w:t>The tobacco plain packaging measure is part of a comprehensive package of tobacco control measures. These questions aim to gather information on whether the tobacco plain packaging measure has contributed to improvements in public health.</w:t>
      </w:r>
    </w:p>
    <w:p w:rsidR="00CB756C" w:rsidRPr="00997B92" w:rsidRDefault="00CB756C" w:rsidP="00CB756C">
      <w:pPr>
        <w:pStyle w:val="Heading5"/>
      </w:pPr>
      <w:bookmarkStart w:id="192" w:name="_Toc409528691"/>
      <w:bookmarkStart w:id="193" w:name="_Toc409528759"/>
      <w:r w:rsidRPr="00997B92">
        <w:t>Discouraging people from taking up smoking or using tobacco products</w:t>
      </w:r>
      <w:bookmarkEnd w:id="192"/>
      <w:bookmarkEnd w:id="193"/>
      <w:r w:rsidRPr="00997B92">
        <w:t xml:space="preserve"> </w:t>
      </w:r>
    </w:p>
    <w:p w:rsidR="00CB756C" w:rsidRPr="00CA0487" w:rsidRDefault="00CB756C" w:rsidP="00CB756C">
      <w:pPr>
        <w:rPr>
          <w:rStyle w:val="Strong"/>
        </w:rPr>
      </w:pPr>
      <w:r w:rsidRPr="00CA0487">
        <w:rPr>
          <w:rStyle w:val="Strong"/>
        </w:rPr>
        <w:t xml:space="preserve">To what extent do you think that the tobacco plain packaging measure, as part of broader effort </w:t>
      </w:r>
      <w:proofErr w:type="gramStart"/>
      <w:r w:rsidRPr="00CA0487">
        <w:rPr>
          <w:rStyle w:val="Strong"/>
        </w:rPr>
        <w:t>has:</w:t>
      </w:r>
      <w:proofErr w:type="gram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Question 10 asks about the extent that the tobacco plain packaging measure has discouraged people from taking up smoking, or using tobacco products. The 5 response options in the table are: Not at all, very little, unsure, somewhat and to a great extent.  &#10;"/>
      </w:tblPr>
      <w:tblGrid>
        <w:gridCol w:w="2375"/>
        <w:gridCol w:w="1373"/>
        <w:gridCol w:w="1373"/>
        <w:gridCol w:w="1374"/>
        <w:gridCol w:w="1373"/>
        <w:gridCol w:w="1374"/>
      </w:tblGrid>
      <w:tr w:rsidR="00CB756C" w:rsidRPr="00997B92" w:rsidTr="009E5945">
        <w:trPr>
          <w:jc w:val="center"/>
        </w:trPr>
        <w:tc>
          <w:tcPr>
            <w:tcW w:w="2375" w:type="dxa"/>
            <w:shd w:val="clear" w:color="auto" w:fill="auto"/>
          </w:tcPr>
          <w:p w:rsidR="00CB756C" w:rsidRPr="00997B92" w:rsidRDefault="00CB756C" w:rsidP="0018586D">
            <w:pPr>
              <w:numPr>
                <w:ilvl w:val="0"/>
                <w:numId w:val="18"/>
              </w:numPr>
              <w:rPr>
                <w:b/>
              </w:rPr>
            </w:pPr>
            <w:r w:rsidRPr="00997B92">
              <w:rPr>
                <w:b/>
                <w:i/>
              </w:rPr>
              <w:t>Discouraged people from taking up smoking, or using tobacco products?</w:t>
            </w:r>
          </w:p>
        </w:tc>
        <w:tc>
          <w:tcPr>
            <w:tcW w:w="1373" w:type="dxa"/>
            <w:shd w:val="clear" w:color="auto" w:fill="auto"/>
          </w:tcPr>
          <w:p w:rsidR="00CB756C" w:rsidRPr="00997B92" w:rsidRDefault="00CB756C" w:rsidP="009E5945">
            <w:pPr>
              <w:jc w:val="center"/>
            </w:pPr>
            <w:r w:rsidRPr="00997B92">
              <w:t>Not at all</w:t>
            </w:r>
          </w:p>
        </w:tc>
        <w:tc>
          <w:tcPr>
            <w:tcW w:w="1373" w:type="dxa"/>
            <w:shd w:val="clear" w:color="auto" w:fill="auto"/>
          </w:tcPr>
          <w:p w:rsidR="00CB756C" w:rsidRPr="00997B92" w:rsidRDefault="00CB756C" w:rsidP="009E5945">
            <w:pPr>
              <w:jc w:val="center"/>
            </w:pPr>
            <w:r w:rsidRPr="00997B92">
              <w:t>Very little</w:t>
            </w:r>
          </w:p>
        </w:tc>
        <w:tc>
          <w:tcPr>
            <w:tcW w:w="1374" w:type="dxa"/>
            <w:shd w:val="clear" w:color="auto" w:fill="auto"/>
          </w:tcPr>
          <w:p w:rsidR="00CB756C" w:rsidRPr="00997B92" w:rsidRDefault="00CB756C" w:rsidP="009E5945">
            <w:pPr>
              <w:jc w:val="center"/>
            </w:pPr>
            <w:r w:rsidRPr="00997B92">
              <w:t>Unsure</w:t>
            </w:r>
          </w:p>
        </w:tc>
        <w:tc>
          <w:tcPr>
            <w:tcW w:w="1373" w:type="dxa"/>
            <w:shd w:val="clear" w:color="auto" w:fill="auto"/>
          </w:tcPr>
          <w:p w:rsidR="00CB756C" w:rsidRPr="00997B92" w:rsidRDefault="00CB756C" w:rsidP="009E5945">
            <w:pPr>
              <w:jc w:val="center"/>
            </w:pPr>
            <w:r w:rsidRPr="00997B92">
              <w:t>Somewhat</w:t>
            </w:r>
          </w:p>
        </w:tc>
        <w:tc>
          <w:tcPr>
            <w:tcW w:w="1374" w:type="dxa"/>
            <w:shd w:val="clear" w:color="auto" w:fill="auto"/>
          </w:tcPr>
          <w:p w:rsidR="00CB756C" w:rsidRPr="00997B92" w:rsidRDefault="00CB756C" w:rsidP="009E5945">
            <w:pPr>
              <w:jc w:val="center"/>
            </w:pPr>
            <w:r w:rsidRPr="00997B92">
              <w:t>To a great extent</w:t>
            </w:r>
          </w:p>
        </w:tc>
      </w:tr>
    </w:tbl>
    <w:p w:rsidR="00CB756C" w:rsidRDefault="00CB756C" w:rsidP="0018586D">
      <w:pPr>
        <w:numPr>
          <w:ilvl w:val="0"/>
          <w:numId w:val="18"/>
        </w:numPr>
        <w:jc w:val="both"/>
        <w:rPr>
          <w:b/>
        </w:rPr>
      </w:pPr>
      <w:r w:rsidRPr="00997B92">
        <w:rPr>
          <w:b/>
        </w:rPr>
        <w:t>On what basis do you make this judgement? (500 word limit; if you do not wish to provide a response please insert N/A)</w:t>
      </w:r>
    </w:p>
    <w:sdt>
      <w:sdtPr>
        <w:alias w:val="How does plain packing discourage people from smoking?"/>
        <w:tag w:val="How does plain packing discourage people from smoking?"/>
        <w:id w:val="1608934063"/>
      </w:sdtPr>
      <w:sdtEndPr/>
      <w:sdtContent>
        <w:p w:rsidR="00CB756C" w:rsidRPr="0058760C" w:rsidRDefault="00CB756C" w:rsidP="00CB756C">
          <w:pPr>
            <w:pBdr>
              <w:top w:val="single" w:sz="4" w:space="1" w:color="auto"/>
              <w:left w:val="single" w:sz="4" w:space="4" w:color="auto"/>
              <w:bottom w:val="single" w:sz="4" w:space="1" w:color="auto"/>
              <w:right w:val="single" w:sz="4" w:space="4" w:color="auto"/>
            </w:pBdr>
          </w:pPr>
          <w:r w:rsidRPr="00997B92">
            <w:t>INSERT RESPONSE</w:t>
          </w:r>
        </w:p>
      </w:sdtContent>
    </w:sdt>
    <w:p w:rsidR="00CB756C" w:rsidRPr="00997B92" w:rsidRDefault="00CB756C" w:rsidP="00CB756C">
      <w:r w:rsidRPr="00997B92">
        <w:t xml:space="preserve">If you wish to submit supporting documentation and/or data which relate to these questions please make note of the </w:t>
      </w:r>
      <w:r w:rsidRPr="00997B92">
        <w:rPr>
          <w:b/>
        </w:rPr>
        <w:t>question number</w:t>
      </w:r>
      <w:r w:rsidRPr="00997B92">
        <w:t xml:space="preserve"> and submit this along with your </w:t>
      </w:r>
      <w:r w:rsidRPr="00997B92">
        <w:rPr>
          <w:b/>
        </w:rPr>
        <w:t>Response ID</w:t>
      </w:r>
      <w:r w:rsidRPr="00997B92">
        <w:t xml:space="preserve"> (found on the thank you page once you have completed your response) to: </w:t>
      </w:r>
      <w:r w:rsidRPr="00F52DFE">
        <w:t>plainpackaging@sigginsmiller.com.au</w:t>
      </w:r>
      <w:r w:rsidRPr="00997B92">
        <w:t xml:space="preserve">. </w:t>
      </w:r>
    </w:p>
    <w:p w:rsidR="00CB756C" w:rsidRPr="00997B92" w:rsidRDefault="00CB756C" w:rsidP="00CB756C">
      <w:pPr>
        <w:pStyle w:val="Heading5"/>
      </w:pPr>
      <w:bookmarkStart w:id="194" w:name="_Toc409528692"/>
      <w:bookmarkStart w:id="195" w:name="_Toc409528760"/>
      <w:r w:rsidRPr="00997B92">
        <w:t>Encouraging people to give up smoking and to stop using tobacco products</w:t>
      </w:r>
      <w:bookmarkEnd w:id="194"/>
      <w:bookmarkEnd w:id="195"/>
    </w:p>
    <w:p w:rsidR="00CB756C" w:rsidRPr="00997B92" w:rsidRDefault="00CB756C" w:rsidP="00CB756C">
      <w:pPr>
        <w:rPr>
          <w:b/>
        </w:rPr>
      </w:pPr>
      <w:r w:rsidRPr="00997B92">
        <w:rPr>
          <w:b/>
        </w:rPr>
        <w:t>To what extent do you think that the tobacco plain packaging measure, as part of bro</w:t>
      </w:r>
      <w:r>
        <w:rPr>
          <w:b/>
        </w:rPr>
        <w:t xml:space="preserve">ader effort </w:t>
      </w:r>
      <w:proofErr w:type="gramStart"/>
      <w:r>
        <w:rPr>
          <w:b/>
        </w:rPr>
        <w:t>has:</w:t>
      </w:r>
      <w:proofErr w:type="gram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Question 12 asks about the extent that the tobacco plain packaging measure has encouraged people to give up smoking and to stop using tobacco products. The 5 response options in the table are: Not at all, very little, unsure, somewhat and to a great extent."/>
      </w:tblPr>
      <w:tblGrid>
        <w:gridCol w:w="2376"/>
        <w:gridCol w:w="1373"/>
        <w:gridCol w:w="1373"/>
        <w:gridCol w:w="1374"/>
        <w:gridCol w:w="1373"/>
        <w:gridCol w:w="1374"/>
      </w:tblGrid>
      <w:tr w:rsidR="00CB756C" w:rsidRPr="00997B92" w:rsidTr="009E5945">
        <w:trPr>
          <w:jc w:val="center"/>
        </w:trPr>
        <w:tc>
          <w:tcPr>
            <w:tcW w:w="2376" w:type="dxa"/>
            <w:shd w:val="clear" w:color="auto" w:fill="auto"/>
          </w:tcPr>
          <w:p w:rsidR="00CB756C" w:rsidRPr="00997B92" w:rsidRDefault="00CB756C" w:rsidP="0018586D">
            <w:pPr>
              <w:numPr>
                <w:ilvl w:val="0"/>
                <w:numId w:val="18"/>
              </w:numPr>
              <w:rPr>
                <w:b/>
              </w:rPr>
            </w:pPr>
            <w:r w:rsidRPr="00997B92">
              <w:rPr>
                <w:b/>
                <w:i/>
              </w:rPr>
              <w:t>Encouraged people to give up smoking and to stop using tobacco products</w:t>
            </w:r>
            <w:r w:rsidRPr="00997B92">
              <w:rPr>
                <w:b/>
              </w:rPr>
              <w:t>?</w:t>
            </w:r>
          </w:p>
        </w:tc>
        <w:tc>
          <w:tcPr>
            <w:tcW w:w="1373" w:type="dxa"/>
            <w:shd w:val="clear" w:color="auto" w:fill="auto"/>
          </w:tcPr>
          <w:p w:rsidR="00CB756C" w:rsidRPr="00997B92" w:rsidRDefault="00CB756C" w:rsidP="009E5945">
            <w:pPr>
              <w:jc w:val="center"/>
            </w:pPr>
            <w:r w:rsidRPr="00997B92">
              <w:t>Not at all</w:t>
            </w:r>
          </w:p>
        </w:tc>
        <w:tc>
          <w:tcPr>
            <w:tcW w:w="1373" w:type="dxa"/>
            <w:shd w:val="clear" w:color="auto" w:fill="auto"/>
          </w:tcPr>
          <w:p w:rsidR="00CB756C" w:rsidRPr="00997B92" w:rsidRDefault="00CB756C" w:rsidP="009E5945">
            <w:pPr>
              <w:jc w:val="center"/>
            </w:pPr>
            <w:r w:rsidRPr="00997B92">
              <w:t>Very little</w:t>
            </w:r>
          </w:p>
        </w:tc>
        <w:tc>
          <w:tcPr>
            <w:tcW w:w="1374" w:type="dxa"/>
            <w:shd w:val="clear" w:color="auto" w:fill="auto"/>
          </w:tcPr>
          <w:p w:rsidR="00CB756C" w:rsidRPr="00997B92" w:rsidRDefault="00CB756C" w:rsidP="009E5945">
            <w:pPr>
              <w:jc w:val="center"/>
            </w:pPr>
            <w:r w:rsidRPr="00997B92">
              <w:t>Unsure</w:t>
            </w:r>
          </w:p>
        </w:tc>
        <w:tc>
          <w:tcPr>
            <w:tcW w:w="1373" w:type="dxa"/>
            <w:shd w:val="clear" w:color="auto" w:fill="auto"/>
          </w:tcPr>
          <w:p w:rsidR="00CB756C" w:rsidRPr="00997B92" w:rsidRDefault="00CB756C" w:rsidP="009E5945">
            <w:pPr>
              <w:jc w:val="center"/>
            </w:pPr>
            <w:r w:rsidRPr="00997B92">
              <w:t>Somewhat</w:t>
            </w:r>
          </w:p>
        </w:tc>
        <w:tc>
          <w:tcPr>
            <w:tcW w:w="1374" w:type="dxa"/>
            <w:shd w:val="clear" w:color="auto" w:fill="auto"/>
          </w:tcPr>
          <w:p w:rsidR="00CB756C" w:rsidRPr="00997B92" w:rsidRDefault="00CB756C" w:rsidP="009E5945">
            <w:pPr>
              <w:jc w:val="center"/>
            </w:pPr>
            <w:r w:rsidRPr="00997B92">
              <w:t>To a great extent</w:t>
            </w:r>
          </w:p>
        </w:tc>
      </w:tr>
    </w:tbl>
    <w:p w:rsidR="00CB756C" w:rsidRDefault="00CB756C" w:rsidP="0018586D">
      <w:pPr>
        <w:numPr>
          <w:ilvl w:val="0"/>
          <w:numId w:val="18"/>
        </w:numPr>
        <w:jc w:val="both"/>
        <w:rPr>
          <w:b/>
        </w:rPr>
      </w:pPr>
      <w:r w:rsidRPr="00997B92">
        <w:rPr>
          <w:b/>
        </w:rPr>
        <w:t>On what basis do you make this judgement? (500 word limit; if you do not wish to provide a response please insert N/A)</w:t>
      </w:r>
    </w:p>
    <w:sdt>
      <w:sdtPr>
        <w:alias w:val="How has plain packaging encourage people to give up smoking?"/>
        <w:tag w:val="How has plain packaging encourage people to give up smoking?"/>
        <w:id w:val="2009710326"/>
      </w:sdtPr>
      <w:sdtEndPr/>
      <w:sdtContent>
        <w:p w:rsidR="00CB756C" w:rsidRPr="002026FA" w:rsidRDefault="00CB756C" w:rsidP="00CB756C">
          <w:pPr>
            <w:pBdr>
              <w:top w:val="single" w:sz="4" w:space="1" w:color="auto"/>
              <w:left w:val="single" w:sz="4" w:space="4" w:color="auto"/>
              <w:bottom w:val="single" w:sz="4" w:space="1" w:color="auto"/>
              <w:right w:val="single" w:sz="4" w:space="4" w:color="auto"/>
            </w:pBdr>
          </w:pPr>
          <w:r w:rsidRPr="002026FA">
            <w:t>INSERT RESPONSE</w:t>
          </w:r>
        </w:p>
      </w:sdtContent>
    </w:sdt>
    <w:p w:rsidR="00CB756C" w:rsidRPr="00997B92" w:rsidRDefault="00CB756C" w:rsidP="003B77BD">
      <w:pPr>
        <w:spacing w:after="1800"/>
      </w:pPr>
      <w:r w:rsidRPr="00997B92">
        <w:t xml:space="preserve">If you wish to submit supporting documentation and/or data which relate to these questions please make note of the </w:t>
      </w:r>
      <w:r w:rsidRPr="002026FA">
        <w:rPr>
          <w:rStyle w:val="Strong"/>
        </w:rPr>
        <w:t>question number</w:t>
      </w:r>
      <w:r w:rsidRPr="00997B92">
        <w:t xml:space="preserve"> and submit this along with your </w:t>
      </w:r>
      <w:r w:rsidRPr="002026FA">
        <w:rPr>
          <w:rStyle w:val="Strong"/>
        </w:rPr>
        <w:t>Response ID</w:t>
      </w:r>
      <w:r w:rsidRPr="00997B92">
        <w:t xml:space="preserve"> (found on the thank you page once you have completed your response) to: </w:t>
      </w:r>
      <w:r w:rsidRPr="00F52DFE">
        <w:t>plainpackaging@sigginsmiller.com.au.</w:t>
      </w:r>
      <w:r w:rsidRPr="00997B92">
        <w:t xml:space="preserve">  </w:t>
      </w:r>
    </w:p>
    <w:p w:rsidR="001A113A" w:rsidRPr="001A113A" w:rsidRDefault="00CB756C" w:rsidP="003B77BD">
      <w:pPr>
        <w:pStyle w:val="Heading5"/>
      </w:pPr>
      <w:bookmarkStart w:id="196" w:name="_Toc409528693"/>
      <w:bookmarkStart w:id="197" w:name="_Toc409528761"/>
      <w:r w:rsidRPr="00997B92">
        <w:lastRenderedPageBreak/>
        <w:t>Discouraging people who have given up smoking, or who have stopped using tobacco products from relapsing</w:t>
      </w:r>
      <w:bookmarkEnd w:id="196"/>
      <w:bookmarkEnd w:id="197"/>
    </w:p>
    <w:p w:rsidR="00CB756C" w:rsidRPr="002026FA" w:rsidRDefault="00CB756C" w:rsidP="00CB756C">
      <w:pPr>
        <w:rPr>
          <w:rStyle w:val="Strong"/>
        </w:rPr>
      </w:pPr>
      <w:r w:rsidRPr="002026FA">
        <w:rPr>
          <w:rStyle w:val="Strong"/>
        </w:rPr>
        <w:t xml:space="preserve">To what extent do you think that the tobacco plain packaging measure, as part of broader effort </w:t>
      </w:r>
      <w:proofErr w:type="gramStart"/>
      <w:r w:rsidRPr="002026FA">
        <w:rPr>
          <w:rStyle w:val="Strong"/>
        </w:rPr>
        <w:t>has:</w:t>
      </w:r>
      <w:proofErr w:type="gram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Question 14 asks about the extent that the tobacco plain packaging measure has discouraged people who have given up using tobacco from relapsing. The 5 response options in the table are: Not at all, very little, unsure, somewhat and to a great extent.  "/>
      </w:tblPr>
      <w:tblGrid>
        <w:gridCol w:w="2376"/>
        <w:gridCol w:w="1373"/>
        <w:gridCol w:w="1373"/>
        <w:gridCol w:w="1374"/>
        <w:gridCol w:w="1373"/>
        <w:gridCol w:w="1374"/>
      </w:tblGrid>
      <w:tr w:rsidR="00CB756C" w:rsidRPr="00997B92" w:rsidTr="009E5945">
        <w:trPr>
          <w:jc w:val="center"/>
        </w:trPr>
        <w:tc>
          <w:tcPr>
            <w:tcW w:w="2376" w:type="dxa"/>
            <w:shd w:val="clear" w:color="auto" w:fill="auto"/>
          </w:tcPr>
          <w:p w:rsidR="00CB756C" w:rsidRPr="00997B92" w:rsidRDefault="00CB756C" w:rsidP="0018586D">
            <w:pPr>
              <w:numPr>
                <w:ilvl w:val="0"/>
                <w:numId w:val="18"/>
              </w:numPr>
              <w:rPr>
                <w:b/>
              </w:rPr>
            </w:pPr>
            <w:r w:rsidRPr="00997B92">
              <w:rPr>
                <w:b/>
                <w:i/>
              </w:rPr>
              <w:t xml:space="preserve">Discouraged people who have given up smoking or who have stopped using tobacco products from relapsing? </w:t>
            </w:r>
          </w:p>
        </w:tc>
        <w:tc>
          <w:tcPr>
            <w:tcW w:w="1373" w:type="dxa"/>
            <w:shd w:val="clear" w:color="auto" w:fill="auto"/>
          </w:tcPr>
          <w:p w:rsidR="00CB756C" w:rsidRPr="00997B92" w:rsidRDefault="00CB756C" w:rsidP="009E5945">
            <w:pPr>
              <w:jc w:val="center"/>
            </w:pPr>
            <w:r w:rsidRPr="00997B92">
              <w:t>Not at all</w:t>
            </w:r>
          </w:p>
        </w:tc>
        <w:tc>
          <w:tcPr>
            <w:tcW w:w="1373" w:type="dxa"/>
            <w:shd w:val="clear" w:color="auto" w:fill="auto"/>
          </w:tcPr>
          <w:p w:rsidR="00CB756C" w:rsidRPr="00997B92" w:rsidRDefault="00CB756C" w:rsidP="009E5945">
            <w:pPr>
              <w:jc w:val="center"/>
            </w:pPr>
            <w:r w:rsidRPr="00997B92">
              <w:t>Very little</w:t>
            </w:r>
          </w:p>
        </w:tc>
        <w:tc>
          <w:tcPr>
            <w:tcW w:w="1374" w:type="dxa"/>
            <w:shd w:val="clear" w:color="auto" w:fill="auto"/>
          </w:tcPr>
          <w:p w:rsidR="00CB756C" w:rsidRPr="00997B92" w:rsidRDefault="00CB756C" w:rsidP="009E5945">
            <w:pPr>
              <w:jc w:val="center"/>
            </w:pPr>
            <w:r w:rsidRPr="00997B92">
              <w:t>Unsure</w:t>
            </w:r>
          </w:p>
        </w:tc>
        <w:tc>
          <w:tcPr>
            <w:tcW w:w="1373" w:type="dxa"/>
            <w:shd w:val="clear" w:color="auto" w:fill="auto"/>
          </w:tcPr>
          <w:p w:rsidR="00CB756C" w:rsidRPr="00997B92" w:rsidRDefault="00CB756C" w:rsidP="009E5945">
            <w:pPr>
              <w:jc w:val="center"/>
            </w:pPr>
            <w:r w:rsidRPr="00997B92">
              <w:t>Somewhat</w:t>
            </w:r>
          </w:p>
        </w:tc>
        <w:tc>
          <w:tcPr>
            <w:tcW w:w="1374" w:type="dxa"/>
            <w:shd w:val="clear" w:color="auto" w:fill="auto"/>
          </w:tcPr>
          <w:p w:rsidR="00CB756C" w:rsidRPr="00997B92" w:rsidRDefault="00CB756C" w:rsidP="009E5945">
            <w:pPr>
              <w:jc w:val="center"/>
            </w:pPr>
            <w:r w:rsidRPr="00997B92">
              <w:t>To a great extent</w:t>
            </w:r>
          </w:p>
        </w:tc>
      </w:tr>
    </w:tbl>
    <w:p w:rsidR="00CB756C" w:rsidRPr="002026FA" w:rsidRDefault="00CB756C" w:rsidP="00CB756C"/>
    <w:p w:rsidR="00CB756C" w:rsidRDefault="00CB756C" w:rsidP="0018586D">
      <w:pPr>
        <w:numPr>
          <w:ilvl w:val="0"/>
          <w:numId w:val="18"/>
        </w:numPr>
        <w:jc w:val="both"/>
        <w:rPr>
          <w:rStyle w:val="Strong"/>
        </w:rPr>
      </w:pPr>
      <w:r w:rsidRPr="002026FA">
        <w:rPr>
          <w:rStyle w:val="Strong"/>
        </w:rPr>
        <w:t>On what basis do you make this judgement? (500 word limit; if you do not wish to provide a response please insert N/A)</w:t>
      </w:r>
    </w:p>
    <w:sdt>
      <w:sdtPr>
        <w:alias w:val="How has plain packaging discourage people from relaping?"/>
        <w:tag w:val="How has plain packaging discourage people from relaping?"/>
        <w:id w:val="-581914979"/>
      </w:sdtPr>
      <w:sdtEndPr/>
      <w:sdtContent>
        <w:p w:rsidR="00CB756C" w:rsidRPr="002026FA" w:rsidRDefault="00CB756C" w:rsidP="00CB756C">
          <w:pPr>
            <w:pBdr>
              <w:top w:val="single" w:sz="4" w:space="1" w:color="auto"/>
              <w:left w:val="single" w:sz="4" w:space="4" w:color="auto"/>
              <w:bottom w:val="single" w:sz="4" w:space="1" w:color="auto"/>
              <w:right w:val="single" w:sz="4" w:space="4" w:color="auto"/>
            </w:pBdr>
          </w:pPr>
          <w:r w:rsidRPr="00997B92">
            <w:t>INSERT RESPONSE</w:t>
          </w:r>
        </w:p>
      </w:sdtContent>
    </w:sdt>
    <w:p w:rsidR="00CB756C" w:rsidRPr="00997B92" w:rsidRDefault="00CB756C" w:rsidP="00CB756C">
      <w:r w:rsidRPr="00997B92">
        <w:t xml:space="preserve">If you wish to submit supporting documentation and/or data which relate to these questions please make note of the </w:t>
      </w:r>
      <w:r w:rsidRPr="002026FA">
        <w:rPr>
          <w:rStyle w:val="Strong"/>
        </w:rPr>
        <w:t>question number</w:t>
      </w:r>
      <w:r w:rsidRPr="00997B92">
        <w:t xml:space="preserve"> and submit this along with your </w:t>
      </w:r>
      <w:r w:rsidRPr="002026FA">
        <w:rPr>
          <w:rStyle w:val="Strong"/>
        </w:rPr>
        <w:t>Response ID</w:t>
      </w:r>
      <w:r w:rsidRPr="00997B92">
        <w:t xml:space="preserve"> (found on the thank you page once you have completed your response) to</w:t>
      </w:r>
      <w:r w:rsidRPr="00F52DFE">
        <w:t>: plainpackaging@sigginsmiller.com.au.</w:t>
      </w:r>
    </w:p>
    <w:p w:rsidR="00CB756C" w:rsidRPr="00997B92" w:rsidRDefault="00CB756C" w:rsidP="00CB756C">
      <w:pPr>
        <w:pStyle w:val="Heading5"/>
      </w:pPr>
      <w:bookmarkStart w:id="198" w:name="_Toc409528694"/>
      <w:bookmarkStart w:id="199" w:name="_Toc409528762"/>
      <w:r w:rsidRPr="00997B92">
        <w:t>Reducing people’s exposure to smoke from tobacco products</w:t>
      </w:r>
      <w:bookmarkEnd w:id="198"/>
      <w:bookmarkEnd w:id="199"/>
    </w:p>
    <w:p w:rsidR="00CB756C" w:rsidRPr="002026FA" w:rsidRDefault="00CB756C" w:rsidP="00CB756C">
      <w:pPr>
        <w:rPr>
          <w:rStyle w:val="Strong"/>
        </w:rPr>
      </w:pPr>
      <w:r w:rsidRPr="002026FA">
        <w:rPr>
          <w:rStyle w:val="Strong"/>
        </w:rPr>
        <w:t xml:space="preserve">To what extent do you think that the tobacco plain packaging measure, as part of broader effort </w:t>
      </w:r>
      <w:proofErr w:type="gramStart"/>
      <w:r w:rsidRPr="002026FA">
        <w:rPr>
          <w:rStyle w:val="Strong"/>
        </w:rPr>
        <w:t>has:</w:t>
      </w:r>
      <w:proofErr w:type="gram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Question 16 asks about the extent that the tobacco plain packaging measure has reduced people's exposure to smoke from tobacco products. The 5 response options in the table are: Not at all, very little, unsure, somewhat and to a great extent. "/>
      </w:tblPr>
      <w:tblGrid>
        <w:gridCol w:w="2376"/>
        <w:gridCol w:w="1373"/>
        <w:gridCol w:w="1373"/>
        <w:gridCol w:w="1374"/>
        <w:gridCol w:w="1373"/>
        <w:gridCol w:w="1374"/>
      </w:tblGrid>
      <w:tr w:rsidR="00CB756C" w:rsidRPr="00997B92" w:rsidTr="009E5945">
        <w:trPr>
          <w:jc w:val="center"/>
        </w:trPr>
        <w:tc>
          <w:tcPr>
            <w:tcW w:w="2376" w:type="dxa"/>
            <w:shd w:val="clear" w:color="auto" w:fill="auto"/>
          </w:tcPr>
          <w:p w:rsidR="00CB756C" w:rsidRPr="00997B92" w:rsidRDefault="00CB756C" w:rsidP="0018586D">
            <w:pPr>
              <w:numPr>
                <w:ilvl w:val="0"/>
                <w:numId w:val="18"/>
              </w:numPr>
              <w:rPr>
                <w:b/>
              </w:rPr>
            </w:pPr>
            <w:r w:rsidRPr="00997B92">
              <w:rPr>
                <w:b/>
                <w:i/>
              </w:rPr>
              <w:t>Reduced people’s exposure to smoke from tobacco products?</w:t>
            </w:r>
          </w:p>
        </w:tc>
        <w:tc>
          <w:tcPr>
            <w:tcW w:w="1373" w:type="dxa"/>
            <w:shd w:val="clear" w:color="auto" w:fill="auto"/>
          </w:tcPr>
          <w:p w:rsidR="00CB756C" w:rsidRPr="00997B92" w:rsidRDefault="00CB756C" w:rsidP="009E5945">
            <w:pPr>
              <w:jc w:val="center"/>
            </w:pPr>
            <w:r w:rsidRPr="00997B92">
              <w:t>Not at all</w:t>
            </w:r>
          </w:p>
        </w:tc>
        <w:tc>
          <w:tcPr>
            <w:tcW w:w="1373" w:type="dxa"/>
            <w:shd w:val="clear" w:color="auto" w:fill="auto"/>
          </w:tcPr>
          <w:p w:rsidR="00CB756C" w:rsidRPr="00997B92" w:rsidRDefault="00CB756C" w:rsidP="009E5945">
            <w:pPr>
              <w:jc w:val="center"/>
            </w:pPr>
            <w:r w:rsidRPr="00997B92">
              <w:t>Very little</w:t>
            </w:r>
          </w:p>
        </w:tc>
        <w:tc>
          <w:tcPr>
            <w:tcW w:w="1374" w:type="dxa"/>
            <w:shd w:val="clear" w:color="auto" w:fill="auto"/>
          </w:tcPr>
          <w:p w:rsidR="00CB756C" w:rsidRPr="00997B92" w:rsidRDefault="00CB756C" w:rsidP="009E5945">
            <w:pPr>
              <w:jc w:val="center"/>
            </w:pPr>
            <w:r w:rsidRPr="00997B92">
              <w:t>Unsure</w:t>
            </w:r>
          </w:p>
        </w:tc>
        <w:tc>
          <w:tcPr>
            <w:tcW w:w="1373" w:type="dxa"/>
            <w:shd w:val="clear" w:color="auto" w:fill="auto"/>
          </w:tcPr>
          <w:p w:rsidR="00CB756C" w:rsidRPr="00997B92" w:rsidRDefault="00CB756C" w:rsidP="009E5945">
            <w:pPr>
              <w:jc w:val="center"/>
            </w:pPr>
            <w:r w:rsidRPr="00997B92">
              <w:t>Somewhat</w:t>
            </w:r>
          </w:p>
        </w:tc>
        <w:tc>
          <w:tcPr>
            <w:tcW w:w="1374" w:type="dxa"/>
            <w:shd w:val="clear" w:color="auto" w:fill="auto"/>
          </w:tcPr>
          <w:p w:rsidR="00CB756C" w:rsidRPr="00997B92" w:rsidRDefault="00CB756C" w:rsidP="009E5945">
            <w:pPr>
              <w:jc w:val="center"/>
            </w:pPr>
            <w:r w:rsidRPr="00997B92">
              <w:t>To a great extent</w:t>
            </w:r>
          </w:p>
        </w:tc>
      </w:tr>
    </w:tbl>
    <w:p w:rsidR="00CB756C" w:rsidRDefault="00CB756C" w:rsidP="0018586D">
      <w:pPr>
        <w:numPr>
          <w:ilvl w:val="0"/>
          <w:numId w:val="18"/>
        </w:numPr>
        <w:jc w:val="both"/>
        <w:rPr>
          <w:b/>
        </w:rPr>
      </w:pPr>
      <w:r w:rsidRPr="00997B92">
        <w:rPr>
          <w:b/>
        </w:rPr>
        <w:t>On what basis do you make this judgement? (500 word limit; if you do not wish to provide a response please insert N/A)</w:t>
      </w:r>
    </w:p>
    <w:sdt>
      <w:sdtPr>
        <w:alias w:val="Do you think plain packaging measures have reduced exposure?"/>
        <w:tag w:val="Do you think plain packaging measures have reduced exposure?"/>
        <w:id w:val="491372328"/>
      </w:sdtPr>
      <w:sdtEndPr/>
      <w:sdtContent>
        <w:p w:rsidR="00CB756C" w:rsidRPr="001D4D56" w:rsidRDefault="00CB756C" w:rsidP="00CB756C">
          <w:pPr>
            <w:pBdr>
              <w:top w:val="single" w:sz="4" w:space="1" w:color="auto"/>
              <w:left w:val="single" w:sz="4" w:space="4" w:color="auto"/>
              <w:bottom w:val="single" w:sz="4" w:space="1" w:color="auto"/>
              <w:right w:val="single" w:sz="4" w:space="4" w:color="auto"/>
            </w:pBdr>
          </w:pPr>
          <w:r w:rsidRPr="00997B92">
            <w:t>INSERT RESPONSE</w:t>
          </w:r>
        </w:p>
      </w:sdtContent>
    </w:sdt>
    <w:p w:rsidR="00CB756C" w:rsidRPr="00997B92" w:rsidRDefault="00CB756C" w:rsidP="00CB756C">
      <w:r w:rsidRPr="00997B92">
        <w:t xml:space="preserve">If you wish to submit supporting documentation and/or data which relate to these questions please make note of the </w:t>
      </w:r>
      <w:r w:rsidRPr="000C23F4">
        <w:rPr>
          <w:rStyle w:val="Strong"/>
        </w:rPr>
        <w:t>question number</w:t>
      </w:r>
      <w:r w:rsidRPr="00997B92">
        <w:t xml:space="preserve"> and submit this along with your </w:t>
      </w:r>
      <w:r w:rsidRPr="001D4D56">
        <w:rPr>
          <w:rStyle w:val="Strong"/>
        </w:rPr>
        <w:t>Response ID</w:t>
      </w:r>
      <w:r w:rsidRPr="00997B92">
        <w:t xml:space="preserve"> (found on the thank you page once you have completed your response) to: </w:t>
      </w:r>
      <w:r w:rsidRPr="00F52DFE">
        <w:t>plainpackaging@sigginsmiller.com.au.</w:t>
      </w:r>
    </w:p>
    <w:p w:rsidR="00CB756C" w:rsidRPr="00997B92" w:rsidRDefault="00CB756C" w:rsidP="00371077">
      <w:pPr>
        <w:pStyle w:val="Heading4"/>
      </w:pPr>
      <w:r w:rsidRPr="00997B92">
        <w:br w:type="page"/>
      </w:r>
      <w:bookmarkStart w:id="200" w:name="_Toc409528764"/>
      <w:r w:rsidRPr="00997B92">
        <w:lastRenderedPageBreak/>
        <w:t>The impact of the tobacco plain packaging measure</w:t>
      </w:r>
      <w:bookmarkEnd w:id="200"/>
    </w:p>
    <w:p w:rsidR="00CB756C" w:rsidRPr="009E3A33" w:rsidRDefault="00CB756C" w:rsidP="0018586D">
      <w:pPr>
        <w:numPr>
          <w:ilvl w:val="0"/>
          <w:numId w:val="18"/>
        </w:numPr>
        <w:jc w:val="both"/>
        <w:rPr>
          <w:rStyle w:val="Strong"/>
          <w:bCs w:val="0"/>
        </w:rPr>
      </w:pPr>
      <w:r w:rsidRPr="009E3A33">
        <w:rPr>
          <w:rStyle w:val="Strong"/>
        </w:rPr>
        <w:t>Thinking about the impact of the tobacco plain packaging measure on you and/or your business, please indicate whether you believe it has had any</w:t>
      </w:r>
      <w:r w:rsidRPr="00997B92">
        <w:rPr>
          <w:b/>
        </w:rPr>
        <w:t xml:space="preserve"> </w:t>
      </w:r>
      <w:r w:rsidRPr="00997B92">
        <w:rPr>
          <w:b/>
          <w:i/>
        </w:rPr>
        <w:t>positive impacts</w:t>
      </w:r>
      <w:r w:rsidRPr="00997B92">
        <w:rPr>
          <w:b/>
        </w:rPr>
        <w:t xml:space="preserve"> </w:t>
      </w:r>
      <w:r w:rsidRPr="009E3A33">
        <w:rPr>
          <w:rStyle w:val="Strong"/>
        </w:rPr>
        <w:t xml:space="preserve">at the levels listed below?  If you believe it has had </w:t>
      </w:r>
      <w:r w:rsidRPr="00997B92">
        <w:rPr>
          <w:b/>
          <w:i/>
        </w:rPr>
        <w:t>positive impacts</w:t>
      </w:r>
      <w:r w:rsidRPr="00997B92">
        <w:rPr>
          <w:b/>
        </w:rPr>
        <w:t xml:space="preserve">, </w:t>
      </w:r>
      <w:r w:rsidRPr="009E3A33">
        <w:rPr>
          <w:rStyle w:val="Strong"/>
        </w:rPr>
        <w:t>please explain further in the drop down boxes.</w:t>
      </w:r>
    </w:p>
    <w:p w:rsidR="00CB756C" w:rsidRDefault="00CB756C" w:rsidP="00CB756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980"/>
        </w:tabs>
      </w:pPr>
      <w:proofErr w:type="gramStart"/>
      <w:r w:rsidRPr="008350D2">
        <w:rPr>
          <w:rStyle w:val="Strong"/>
        </w:rPr>
        <w:t>Economically?</w:t>
      </w:r>
      <w:proofErr w:type="gramEnd"/>
      <w:r w:rsidRPr="009E3A33">
        <w:rPr>
          <w:b/>
        </w:rPr>
        <w:tab/>
      </w:r>
      <w:sdt>
        <w:sdtPr>
          <w:rPr>
            <w:b/>
          </w:rPr>
          <w:alias w:val="Has plain packaging had a positive impact Economically?"/>
          <w:tag w:val="Has plain packaging had a positive impact Economically?"/>
          <w:id w:val="-1220053871"/>
        </w:sdtPr>
        <w:sdtEndPr>
          <w:rPr>
            <w:b w:val="0"/>
          </w:rPr>
        </w:sdtEndPr>
        <w:sdtContent>
          <w:r w:rsidRPr="00997B92">
            <w:t>INSERT RESPONSE</w:t>
          </w:r>
        </w:sdtContent>
      </w:sdt>
    </w:p>
    <w:p w:rsidR="00CB756C" w:rsidRDefault="00CB756C" w:rsidP="00CB756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980"/>
        </w:tabs>
      </w:pPr>
      <w:proofErr w:type="gramStart"/>
      <w:r w:rsidRPr="008350D2">
        <w:rPr>
          <w:rStyle w:val="Strong"/>
        </w:rPr>
        <w:t>Socially?</w:t>
      </w:r>
      <w:proofErr w:type="gramEnd"/>
      <w:r w:rsidRPr="009E3A33">
        <w:rPr>
          <w:b/>
        </w:rPr>
        <w:tab/>
      </w:r>
      <w:sdt>
        <w:sdtPr>
          <w:rPr>
            <w:b/>
          </w:rPr>
          <w:alias w:val="Has plain packaging had a positive impact Socially?"/>
          <w:tag w:val="Has plain packaging had a positive impact Socially?"/>
          <w:id w:val="1226727524"/>
        </w:sdtPr>
        <w:sdtEndPr>
          <w:rPr>
            <w:b w:val="0"/>
          </w:rPr>
        </w:sdtEndPr>
        <w:sdtContent>
          <w:r w:rsidRPr="00997B92">
            <w:t>INSERT RESPONSE</w:t>
          </w:r>
        </w:sdtContent>
      </w:sdt>
    </w:p>
    <w:p w:rsidR="00CB756C" w:rsidRPr="009E3A33" w:rsidRDefault="00CB756C" w:rsidP="00CB756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980"/>
        </w:tabs>
        <w:rPr>
          <w:b/>
        </w:rPr>
      </w:pPr>
      <w:proofErr w:type="gramStart"/>
      <w:r w:rsidRPr="008350D2">
        <w:rPr>
          <w:rStyle w:val="Strong"/>
        </w:rPr>
        <w:t>Environmentally?</w:t>
      </w:r>
      <w:proofErr w:type="gramEnd"/>
      <w:r w:rsidRPr="009E3A33">
        <w:rPr>
          <w:b/>
        </w:rPr>
        <w:tab/>
      </w:r>
      <w:sdt>
        <w:sdtPr>
          <w:alias w:val="Has plain packaging had a positive impact Environmentally?"/>
          <w:tag w:val="Has plain packaging had a positive impact Environmentally?"/>
          <w:id w:val="719260458"/>
        </w:sdtPr>
        <w:sdtEndPr/>
        <w:sdtContent>
          <w:r w:rsidRPr="00997B92">
            <w:t>INSERT RESPONSE</w:t>
          </w:r>
        </w:sdtContent>
      </w:sdt>
    </w:p>
    <w:p w:rsidR="00CB756C" w:rsidRDefault="00CB756C" w:rsidP="0018586D">
      <w:pPr>
        <w:numPr>
          <w:ilvl w:val="0"/>
          <w:numId w:val="18"/>
        </w:numPr>
        <w:jc w:val="both"/>
        <w:rPr>
          <w:rStyle w:val="Strong"/>
        </w:rPr>
      </w:pPr>
      <w:r w:rsidRPr="009E3A33">
        <w:rPr>
          <w:rStyle w:val="Strong"/>
        </w:rPr>
        <w:t>On what basis do you make these judgements? (500 word limit; if you do not wish to provide a response please insert N/A)</w:t>
      </w:r>
    </w:p>
    <w:sdt>
      <w:sdtPr>
        <w:alias w:val="What positive impacts does plain packaging have on business?"/>
        <w:tag w:val="What positive impacts does plain packaging have on business?"/>
        <w:id w:val="978494501"/>
      </w:sdtPr>
      <w:sdtEndPr/>
      <w:sdtContent>
        <w:p w:rsidR="00CB756C" w:rsidRPr="009E3A33" w:rsidRDefault="00CB756C" w:rsidP="00CB756C">
          <w:pPr>
            <w:pBdr>
              <w:top w:val="single" w:sz="4" w:space="1" w:color="auto"/>
              <w:left w:val="single" w:sz="4" w:space="4" w:color="auto"/>
              <w:bottom w:val="single" w:sz="4" w:space="1" w:color="auto"/>
              <w:right w:val="single" w:sz="4" w:space="4" w:color="auto"/>
            </w:pBdr>
            <w:rPr>
              <w:rStyle w:val="Strong"/>
            </w:rPr>
          </w:pPr>
          <w:r w:rsidRPr="00997B92">
            <w:t>INSERT RESPONSE</w:t>
          </w:r>
        </w:p>
      </w:sdtContent>
    </w:sdt>
    <w:p w:rsidR="00CB756C" w:rsidRPr="00997B92" w:rsidRDefault="00CB756C" w:rsidP="00CB756C">
      <w:r w:rsidRPr="00997B92">
        <w:t xml:space="preserve">If you wish to submit supporting documentation and/or data which relate to these questions please make note of the </w:t>
      </w:r>
      <w:r w:rsidRPr="009E3A33">
        <w:rPr>
          <w:rStyle w:val="Strong"/>
        </w:rPr>
        <w:t>question number</w:t>
      </w:r>
      <w:r w:rsidRPr="00997B92">
        <w:t xml:space="preserve"> and submit this along with your </w:t>
      </w:r>
      <w:r w:rsidRPr="009E3A33">
        <w:rPr>
          <w:rStyle w:val="Strong"/>
        </w:rPr>
        <w:t>Response ID</w:t>
      </w:r>
      <w:r w:rsidRPr="00997B92">
        <w:t xml:space="preserve"> (found on the thank you page once you have completed your response) to: </w:t>
      </w:r>
      <w:r w:rsidRPr="001A6953">
        <w:t>plainpackaging@sigginsmiller.com.au.</w:t>
      </w:r>
    </w:p>
    <w:p w:rsidR="00CB756C" w:rsidRPr="008350D2" w:rsidRDefault="00CB756C" w:rsidP="0018586D">
      <w:pPr>
        <w:numPr>
          <w:ilvl w:val="0"/>
          <w:numId w:val="18"/>
        </w:numPr>
        <w:jc w:val="both"/>
        <w:rPr>
          <w:rStyle w:val="Strong"/>
          <w:bCs w:val="0"/>
        </w:rPr>
      </w:pPr>
      <w:r w:rsidRPr="008350D2">
        <w:rPr>
          <w:rStyle w:val="Strong"/>
        </w:rPr>
        <w:t>Thinking about the impact of the tobacco plain packaging measure on you and/or your business, please indicate whether you believe it has had any</w:t>
      </w:r>
      <w:r w:rsidRPr="00997B92">
        <w:rPr>
          <w:b/>
        </w:rPr>
        <w:t xml:space="preserve"> </w:t>
      </w:r>
      <w:r w:rsidRPr="00997B92">
        <w:rPr>
          <w:b/>
          <w:i/>
        </w:rPr>
        <w:t>negative impacts</w:t>
      </w:r>
      <w:r w:rsidRPr="00997B92">
        <w:rPr>
          <w:b/>
        </w:rPr>
        <w:t xml:space="preserve"> </w:t>
      </w:r>
      <w:r w:rsidRPr="008350D2">
        <w:rPr>
          <w:rStyle w:val="Strong"/>
        </w:rPr>
        <w:t xml:space="preserve">at the levels listed below?  If you believe it has had </w:t>
      </w:r>
      <w:r w:rsidRPr="00997B92">
        <w:rPr>
          <w:b/>
          <w:i/>
        </w:rPr>
        <w:t>negative impacts</w:t>
      </w:r>
      <w:r w:rsidRPr="00997B92">
        <w:rPr>
          <w:b/>
        </w:rPr>
        <w:t xml:space="preserve">, </w:t>
      </w:r>
      <w:r w:rsidRPr="008350D2">
        <w:rPr>
          <w:rStyle w:val="Strong"/>
        </w:rPr>
        <w:t>please explain further in the drop down boxes.</w:t>
      </w:r>
    </w:p>
    <w:p w:rsidR="00CB756C" w:rsidRDefault="00CB756C" w:rsidP="00CB756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980"/>
        </w:tabs>
      </w:pPr>
      <w:proofErr w:type="gramStart"/>
      <w:r w:rsidRPr="008350D2">
        <w:rPr>
          <w:rStyle w:val="Strong"/>
        </w:rPr>
        <w:t>Economically?</w:t>
      </w:r>
      <w:proofErr w:type="gramEnd"/>
      <w:r>
        <w:rPr>
          <w:b/>
        </w:rPr>
        <w:tab/>
      </w:r>
      <w:sdt>
        <w:sdtPr>
          <w:rPr>
            <w:b/>
          </w:rPr>
          <w:alias w:val="Does plain packaging impact your business Economically?"/>
          <w:tag w:val="Does plain packaging impact your business Economically?"/>
          <w:id w:val="-1065031660"/>
        </w:sdtPr>
        <w:sdtEndPr>
          <w:rPr>
            <w:b w:val="0"/>
          </w:rPr>
        </w:sdtEndPr>
        <w:sdtContent>
          <w:r w:rsidRPr="00997B92">
            <w:t>INSERT RESPONSE</w:t>
          </w:r>
        </w:sdtContent>
      </w:sdt>
    </w:p>
    <w:p w:rsidR="00CB756C" w:rsidRDefault="00CB756C" w:rsidP="00CB756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980"/>
        </w:tabs>
      </w:pPr>
      <w:proofErr w:type="gramStart"/>
      <w:r w:rsidRPr="008350D2">
        <w:rPr>
          <w:rStyle w:val="Strong"/>
        </w:rPr>
        <w:t>Socially?</w:t>
      </w:r>
      <w:proofErr w:type="gramEnd"/>
      <w:r>
        <w:rPr>
          <w:b/>
        </w:rPr>
        <w:tab/>
      </w:r>
      <w:sdt>
        <w:sdtPr>
          <w:rPr>
            <w:b/>
          </w:rPr>
          <w:alias w:val="Does plain packaging impact your business Socially?"/>
          <w:tag w:val="Does plain packaging impact your business Socially?"/>
          <w:id w:val="681016852"/>
        </w:sdtPr>
        <w:sdtEndPr>
          <w:rPr>
            <w:b w:val="0"/>
          </w:rPr>
        </w:sdtEndPr>
        <w:sdtContent>
          <w:r w:rsidRPr="00997B92">
            <w:t>INSERT RESPONSE</w:t>
          </w:r>
        </w:sdtContent>
      </w:sdt>
    </w:p>
    <w:p w:rsidR="00CB756C" w:rsidRPr="00997B92" w:rsidRDefault="00CB756C" w:rsidP="00CB756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980"/>
        </w:tabs>
        <w:rPr>
          <w:b/>
        </w:rPr>
      </w:pPr>
      <w:proofErr w:type="gramStart"/>
      <w:r w:rsidRPr="008350D2">
        <w:rPr>
          <w:rStyle w:val="Strong"/>
        </w:rPr>
        <w:t>Environmentally?</w:t>
      </w:r>
      <w:proofErr w:type="gramEnd"/>
      <w:r>
        <w:rPr>
          <w:b/>
        </w:rPr>
        <w:tab/>
      </w:r>
      <w:sdt>
        <w:sdtPr>
          <w:rPr>
            <w:b/>
          </w:rPr>
          <w:alias w:val="Does plain packaging impact your business Environmentally?"/>
          <w:tag w:val="Does plain packaging impact your business Environmentally?"/>
          <w:id w:val="-1882626702"/>
        </w:sdtPr>
        <w:sdtEndPr>
          <w:rPr>
            <w:b w:val="0"/>
          </w:rPr>
        </w:sdtEndPr>
        <w:sdtContent>
          <w:r w:rsidRPr="00997B92">
            <w:t>INSERT RESPONSE</w:t>
          </w:r>
        </w:sdtContent>
      </w:sdt>
    </w:p>
    <w:p w:rsidR="00CB756C" w:rsidRDefault="00CB756C" w:rsidP="0018586D">
      <w:pPr>
        <w:numPr>
          <w:ilvl w:val="0"/>
          <w:numId w:val="18"/>
        </w:numPr>
        <w:jc w:val="both"/>
        <w:rPr>
          <w:rStyle w:val="Strong"/>
        </w:rPr>
      </w:pPr>
      <w:r w:rsidRPr="008350D2">
        <w:rPr>
          <w:rStyle w:val="Strong"/>
        </w:rPr>
        <w:t>On what basis do you make these judgements? (500 word limit; if you do not wish to provide a response please insert N/A)</w:t>
      </w:r>
    </w:p>
    <w:sdt>
      <w:sdtPr>
        <w:alias w:val="Does plain packaging have any negative impacts?"/>
        <w:tag w:val="Respond to: Does plain packaging have any negative impacts?"/>
        <w:id w:val="-239400865"/>
      </w:sdtPr>
      <w:sdtEndPr/>
      <w:sdtContent>
        <w:p w:rsidR="00CB756C" w:rsidRPr="008350D2" w:rsidRDefault="00CB756C" w:rsidP="00CB756C">
          <w:pPr>
            <w:rPr>
              <w:rStyle w:val="Strong"/>
            </w:rPr>
          </w:pPr>
          <w:r w:rsidRPr="00997B92">
            <w:t>INSERT RESPONSE</w:t>
          </w:r>
        </w:p>
      </w:sdtContent>
    </w:sdt>
    <w:p w:rsidR="00CB756C" w:rsidRPr="00997B92" w:rsidRDefault="00CB756C" w:rsidP="00CB756C">
      <w:r w:rsidRPr="00997B92">
        <w:t xml:space="preserve">If you wish to submit supporting documentation and/or data which relate to these questions please make note of the </w:t>
      </w:r>
      <w:r w:rsidRPr="008350D2">
        <w:rPr>
          <w:rStyle w:val="Strong"/>
        </w:rPr>
        <w:t>question number</w:t>
      </w:r>
      <w:r w:rsidRPr="00997B92">
        <w:t xml:space="preserve"> and submit this along with your </w:t>
      </w:r>
      <w:r w:rsidRPr="008350D2">
        <w:rPr>
          <w:rStyle w:val="Strong"/>
        </w:rPr>
        <w:t>Response ID</w:t>
      </w:r>
      <w:r w:rsidRPr="00997B92">
        <w:t xml:space="preserve"> (found on the thank you page once you have completed your response) to: </w:t>
      </w:r>
      <w:r w:rsidRPr="001A6953">
        <w:t>plainpackaging@sigginsmiller.com.au.</w:t>
      </w:r>
    </w:p>
    <w:p w:rsidR="00CB756C" w:rsidRPr="00997B92" w:rsidRDefault="00CB756C" w:rsidP="00CB756C">
      <w:pPr>
        <w:pStyle w:val="Heading4"/>
      </w:pPr>
      <w:r w:rsidRPr="00997B92">
        <w:br w:type="page"/>
      </w:r>
      <w:bookmarkStart w:id="201" w:name="_Toc409528765"/>
      <w:r w:rsidRPr="00997B92">
        <w:lastRenderedPageBreak/>
        <w:t>Costs and benefits</w:t>
      </w:r>
      <w:bookmarkEnd w:id="201"/>
      <w:r w:rsidRPr="00997B92">
        <w:t xml:space="preserve"> </w:t>
      </w:r>
    </w:p>
    <w:p w:rsidR="00CB756C" w:rsidRPr="00342F63" w:rsidRDefault="00CB756C" w:rsidP="0018586D">
      <w:pPr>
        <w:numPr>
          <w:ilvl w:val="0"/>
          <w:numId w:val="18"/>
        </w:numPr>
        <w:jc w:val="both"/>
        <w:rPr>
          <w:rStyle w:val="Strong"/>
          <w:bCs w:val="0"/>
        </w:rPr>
      </w:pPr>
      <w:r w:rsidRPr="008350D2">
        <w:rPr>
          <w:rStyle w:val="Strong"/>
        </w:rPr>
        <w:t>Thinking about the impact of the tobacco plain packaging measure on you and/or your business, please indicate what you identify as the</w:t>
      </w:r>
      <w:r w:rsidRPr="00997B92">
        <w:rPr>
          <w:b/>
        </w:rPr>
        <w:t xml:space="preserve"> </w:t>
      </w:r>
      <w:r w:rsidRPr="00997B92">
        <w:rPr>
          <w:b/>
          <w:i/>
        </w:rPr>
        <w:t>major costs</w:t>
      </w:r>
      <w:r w:rsidRPr="00997B92">
        <w:rPr>
          <w:b/>
        </w:rPr>
        <w:t xml:space="preserve"> and/or </w:t>
      </w:r>
      <w:r w:rsidRPr="00997B92">
        <w:rPr>
          <w:b/>
          <w:i/>
        </w:rPr>
        <w:t>benefits</w:t>
      </w:r>
      <w:r w:rsidRPr="00997B92">
        <w:rPr>
          <w:b/>
        </w:rPr>
        <w:t xml:space="preserve"> </w:t>
      </w:r>
      <w:r w:rsidRPr="008350D2">
        <w:rPr>
          <w:rStyle w:val="Strong"/>
        </w:rPr>
        <w:t>of the measure? Please explain further in the drop down boxes.</w:t>
      </w:r>
    </w:p>
    <w:p w:rsidR="00CB756C" w:rsidRDefault="00CB756C" w:rsidP="00CB756C">
      <w:pPr>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357"/>
          <w:tab w:val="left" w:pos="1980"/>
        </w:tabs>
      </w:pPr>
      <w:proofErr w:type="gramStart"/>
      <w:r w:rsidRPr="00997B92">
        <w:rPr>
          <w:b/>
        </w:rPr>
        <w:t>Costs?</w:t>
      </w:r>
      <w:proofErr w:type="gramEnd"/>
      <w:r>
        <w:rPr>
          <w:b/>
        </w:rPr>
        <w:tab/>
      </w:r>
      <w:sdt>
        <w:sdtPr>
          <w:rPr>
            <w:b/>
          </w:rPr>
          <w:alias w:val="What are the major cost of plain packaging measure?"/>
          <w:tag w:val="What are the major cost of plain packaging measure?"/>
          <w:id w:val="956220111"/>
        </w:sdtPr>
        <w:sdtEndPr>
          <w:rPr>
            <w:b w:val="0"/>
          </w:rPr>
        </w:sdtEndPr>
        <w:sdtContent>
          <w:r w:rsidRPr="00997B92">
            <w:t>INSERT RESPONSE</w:t>
          </w:r>
        </w:sdtContent>
      </w:sdt>
    </w:p>
    <w:p w:rsidR="00CB756C" w:rsidRPr="00997B92" w:rsidRDefault="00CB756C" w:rsidP="00CB756C">
      <w:pPr>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357"/>
          <w:tab w:val="left" w:pos="1980"/>
        </w:tabs>
        <w:rPr>
          <w:b/>
        </w:rPr>
      </w:pPr>
      <w:proofErr w:type="gramStart"/>
      <w:r w:rsidRPr="00997B92">
        <w:rPr>
          <w:b/>
        </w:rPr>
        <w:t>Benefits?</w:t>
      </w:r>
      <w:proofErr w:type="gramEnd"/>
      <w:r>
        <w:rPr>
          <w:b/>
        </w:rPr>
        <w:tab/>
      </w:r>
      <w:sdt>
        <w:sdtPr>
          <w:rPr>
            <w:b/>
          </w:rPr>
          <w:alias w:val="What are the major benefits of plain packaging measure?"/>
          <w:tag w:val="What are the major benefits of plain packaging measure?"/>
          <w:id w:val="240077496"/>
        </w:sdtPr>
        <w:sdtEndPr>
          <w:rPr>
            <w:b w:val="0"/>
          </w:rPr>
        </w:sdtEndPr>
        <w:sdtContent>
          <w:r w:rsidRPr="00997B92">
            <w:t>INSERT RESPONSE</w:t>
          </w:r>
        </w:sdtContent>
      </w:sdt>
    </w:p>
    <w:p w:rsidR="00CB756C" w:rsidRPr="008350D2" w:rsidRDefault="00CB756C" w:rsidP="0018586D">
      <w:pPr>
        <w:numPr>
          <w:ilvl w:val="0"/>
          <w:numId w:val="18"/>
        </w:numPr>
        <w:jc w:val="both"/>
        <w:rPr>
          <w:rStyle w:val="Strong"/>
        </w:rPr>
      </w:pPr>
      <w:r w:rsidRPr="008350D2">
        <w:rPr>
          <w:rStyle w:val="Strong"/>
        </w:rPr>
        <w:t>On what basis do you make these judgements? (500 word limit; if you do not wish to provide a response please insert N/A)</w:t>
      </w:r>
    </w:p>
    <w:sdt>
      <w:sdtPr>
        <w:alias w:val="What are the major cost/benefits of plain packaging?"/>
        <w:tag w:val="Respond to: What are the major cost/benefits of plain packaging?"/>
        <w:id w:val="-501745353"/>
      </w:sdtPr>
      <w:sdtEndPr/>
      <w:sdtContent>
        <w:p w:rsidR="00CB756C" w:rsidRPr="00997B92" w:rsidRDefault="00CB756C" w:rsidP="00CB756C">
          <w:pPr>
            <w:rPr>
              <w:b/>
            </w:rPr>
          </w:pPr>
          <w:r w:rsidRPr="00997B92">
            <w:t>INSERT RESPONSE</w:t>
          </w:r>
        </w:p>
      </w:sdtContent>
    </w:sdt>
    <w:p w:rsidR="00CB756C" w:rsidRPr="00997B92" w:rsidRDefault="00CB756C" w:rsidP="00CB756C">
      <w:r w:rsidRPr="00997B92">
        <w:t xml:space="preserve">If you wish to submit supporting documentation and/or data which relate to these questions please make note of the </w:t>
      </w:r>
      <w:r w:rsidRPr="00342F63">
        <w:rPr>
          <w:rStyle w:val="Strong"/>
        </w:rPr>
        <w:t>question number</w:t>
      </w:r>
      <w:r w:rsidRPr="00997B92">
        <w:t xml:space="preserve"> and submit this along with your </w:t>
      </w:r>
      <w:r w:rsidRPr="00342F63">
        <w:rPr>
          <w:rStyle w:val="Strong"/>
        </w:rPr>
        <w:t>Response ID</w:t>
      </w:r>
      <w:r w:rsidRPr="00997B92">
        <w:t xml:space="preserve"> (found on the thank you page once you have completed your response) to: </w:t>
      </w:r>
      <w:r w:rsidRPr="001A6953">
        <w:t>plainpackaging@sigginsmiller.com.au.</w:t>
      </w:r>
    </w:p>
    <w:p w:rsidR="00CB756C" w:rsidRDefault="00CB756C" w:rsidP="0018586D">
      <w:pPr>
        <w:numPr>
          <w:ilvl w:val="0"/>
          <w:numId w:val="18"/>
        </w:numPr>
        <w:jc w:val="both"/>
        <w:rPr>
          <w:b/>
        </w:rPr>
      </w:pPr>
      <w:r w:rsidRPr="00604C0C">
        <w:rPr>
          <w:rStyle w:val="Strong"/>
        </w:rPr>
        <w:t>In order to distinguish clearly between the costs of complying with the</w:t>
      </w:r>
      <w:r w:rsidRPr="00997B92">
        <w:rPr>
          <w:b/>
        </w:rPr>
        <w:t xml:space="preserve"> </w:t>
      </w:r>
      <w:r w:rsidRPr="00997B92">
        <w:rPr>
          <w:b/>
          <w:i/>
        </w:rPr>
        <w:t>tobacco plain packaging measure</w:t>
      </w:r>
      <w:r w:rsidRPr="00604C0C">
        <w:rPr>
          <w:rStyle w:val="Strong"/>
        </w:rPr>
        <w:t xml:space="preserve"> (the focus of this review) and the costs of complying with the updated and expanded </w:t>
      </w:r>
      <w:r w:rsidRPr="00997B92">
        <w:rPr>
          <w:b/>
          <w:i/>
        </w:rPr>
        <w:t>health warnings</w:t>
      </w:r>
      <w:r w:rsidRPr="00997B92">
        <w:rPr>
          <w:b/>
        </w:rPr>
        <w:t>,</w:t>
      </w:r>
      <w:r w:rsidRPr="00604C0C">
        <w:rPr>
          <w:rStyle w:val="Strong"/>
        </w:rPr>
        <w:t xml:space="preserve"> please describe any costs of complying with the</w:t>
      </w:r>
      <w:r w:rsidRPr="00997B92">
        <w:rPr>
          <w:b/>
        </w:rPr>
        <w:t xml:space="preserve"> </w:t>
      </w:r>
      <w:r w:rsidRPr="00997B92">
        <w:rPr>
          <w:b/>
          <w:i/>
        </w:rPr>
        <w:t>health warnings</w:t>
      </w:r>
      <w:r w:rsidRPr="00997B92">
        <w:rPr>
          <w:b/>
        </w:rPr>
        <w:t xml:space="preserve"> measure?  </w:t>
      </w:r>
      <w:r w:rsidRPr="00604C0C">
        <w:rPr>
          <w:rStyle w:val="Strong"/>
        </w:rPr>
        <w:t>(500 word limit; if you do not wish to provide a response please insert N/A)</w:t>
      </w:r>
    </w:p>
    <w:p w:rsidR="00CB756C" w:rsidRDefault="00CB756C" w:rsidP="00CB756C">
      <w:pPr>
        <w:pBdr>
          <w:top w:val="single" w:sz="4" w:space="1" w:color="auto"/>
          <w:left w:val="single" w:sz="4" w:space="4" w:color="auto"/>
          <w:bottom w:val="single" w:sz="4" w:space="1" w:color="auto"/>
          <w:right w:val="single" w:sz="4" w:space="4" w:color="auto"/>
        </w:pBdr>
        <w:tabs>
          <w:tab w:val="clear" w:pos="357"/>
          <w:tab w:val="left" w:pos="1980"/>
        </w:tabs>
      </w:pPr>
      <w:proofErr w:type="gramStart"/>
      <w:r w:rsidRPr="00997B92">
        <w:rPr>
          <w:b/>
        </w:rPr>
        <w:t>Costs?</w:t>
      </w:r>
      <w:proofErr w:type="gramEnd"/>
      <w:r>
        <w:rPr>
          <w:b/>
        </w:rPr>
        <w:t xml:space="preserve"> </w:t>
      </w:r>
      <w:sdt>
        <w:sdtPr>
          <w:alias w:val="Detail the cost of complying with the health warnings measures"/>
          <w:tag w:val="Detail the cost of complying with the health warnings measures"/>
          <w:id w:val="-1867437852"/>
        </w:sdtPr>
        <w:sdtEndPr/>
        <w:sdtContent>
          <w:r>
            <w:tab/>
          </w:r>
          <w:r w:rsidRPr="00997B92">
            <w:t>INSERT RESPONSE</w:t>
          </w:r>
        </w:sdtContent>
      </w:sdt>
    </w:p>
    <w:p w:rsidR="00CB756C" w:rsidRPr="00997B92" w:rsidRDefault="00CB756C" w:rsidP="00CB756C">
      <w:r w:rsidRPr="00997B92">
        <w:t xml:space="preserve">If you wish to submit supporting documentation and/or data which relate to these questions please make note of the </w:t>
      </w:r>
      <w:r w:rsidRPr="00E7750E">
        <w:rPr>
          <w:rStyle w:val="Strong"/>
        </w:rPr>
        <w:t>question number</w:t>
      </w:r>
      <w:r w:rsidRPr="00997B92">
        <w:t xml:space="preserve"> and submit this along with your </w:t>
      </w:r>
      <w:r w:rsidRPr="00E7750E">
        <w:rPr>
          <w:rStyle w:val="Strong"/>
        </w:rPr>
        <w:t>Response ID</w:t>
      </w:r>
      <w:r w:rsidRPr="00997B92">
        <w:t xml:space="preserve"> (found on the thank you page once you have completed your response) to: </w:t>
      </w:r>
      <w:r w:rsidRPr="001A6953">
        <w:t>plainpackaging@sigginsmiller.com.au.</w:t>
      </w:r>
    </w:p>
    <w:p w:rsidR="00CB756C" w:rsidRPr="00997B92" w:rsidRDefault="00CB756C" w:rsidP="00CB756C">
      <w:pPr>
        <w:pStyle w:val="Heading4"/>
      </w:pPr>
      <w:r w:rsidRPr="00997B92">
        <w:br w:type="page"/>
      </w:r>
      <w:bookmarkStart w:id="202" w:name="_Toc409528766"/>
      <w:r w:rsidRPr="00997B92">
        <w:lastRenderedPageBreak/>
        <w:t>Final comments</w:t>
      </w:r>
      <w:bookmarkEnd w:id="202"/>
    </w:p>
    <w:p w:rsidR="00CB756C" w:rsidRDefault="00CB756C" w:rsidP="0018586D">
      <w:pPr>
        <w:numPr>
          <w:ilvl w:val="0"/>
          <w:numId w:val="18"/>
        </w:numPr>
        <w:jc w:val="both"/>
        <w:rPr>
          <w:b/>
        </w:rPr>
      </w:pPr>
      <w:r w:rsidRPr="00997B92">
        <w:rPr>
          <w:b/>
        </w:rPr>
        <w:t>Do you have any final comments? (500 word limit; if you do not wish to provide a response please insert N/A)</w:t>
      </w:r>
    </w:p>
    <w:sdt>
      <w:sdtPr>
        <w:alias w:val="Final comments"/>
        <w:tag w:val="Final comments, please place n/a if no comments to be inserted"/>
        <w:id w:val="342063367"/>
      </w:sdtPr>
      <w:sdtEndPr/>
      <w:sdtContent>
        <w:p w:rsidR="00CB756C" w:rsidRPr="00997B92" w:rsidRDefault="00CB756C" w:rsidP="00CB756C">
          <w:pPr>
            <w:pBdr>
              <w:top w:val="single" w:sz="4" w:space="1" w:color="auto"/>
              <w:left w:val="single" w:sz="4" w:space="4" w:color="auto"/>
              <w:bottom w:val="single" w:sz="4" w:space="1" w:color="auto"/>
              <w:right w:val="single" w:sz="4" w:space="4" w:color="auto"/>
            </w:pBdr>
            <w:rPr>
              <w:b/>
            </w:rPr>
          </w:pPr>
          <w:r w:rsidRPr="00997B92">
            <w:t>INSERT RESPONSE</w:t>
          </w:r>
        </w:p>
      </w:sdtContent>
    </w:sdt>
    <w:p w:rsidR="00CB756C" w:rsidRPr="00997B92" w:rsidRDefault="00CB756C" w:rsidP="00CB756C">
      <w:r w:rsidRPr="00997B92">
        <w:t xml:space="preserve">If you wish to submit supporting documentation and/or data which relate to these questions please make note of the </w:t>
      </w:r>
      <w:r w:rsidRPr="00997B92">
        <w:rPr>
          <w:b/>
        </w:rPr>
        <w:t>question number</w:t>
      </w:r>
      <w:r w:rsidRPr="00997B92">
        <w:t xml:space="preserve"> and submit this along with your </w:t>
      </w:r>
      <w:r w:rsidRPr="00997B92">
        <w:rPr>
          <w:b/>
        </w:rPr>
        <w:t>Response ID</w:t>
      </w:r>
      <w:r w:rsidRPr="00997B92">
        <w:t xml:space="preserve"> (found on the thank you page once you have completed your response) to: </w:t>
      </w:r>
      <w:r w:rsidRPr="001A6953">
        <w:t>plainpackaging@sigginsmiller.com.au.</w:t>
      </w:r>
    </w:p>
    <w:p w:rsidR="00CB756C" w:rsidRPr="00997B92" w:rsidRDefault="00CB756C" w:rsidP="00CB756C">
      <w:pPr>
        <w:pStyle w:val="Heading4"/>
      </w:pPr>
      <w:r w:rsidRPr="00997B92">
        <w:br w:type="page"/>
      </w:r>
      <w:bookmarkStart w:id="203" w:name="_Toc409528767"/>
      <w:r w:rsidRPr="00997B92">
        <w:lastRenderedPageBreak/>
        <w:t>Questions about this consultation process</w:t>
      </w:r>
      <w:bookmarkEnd w:id="203"/>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Question 26 asks how satisfied respondents were with the consultation process. The 5 response options in the table are: very unhappy, unhappy, neutral, satisfied and highly satisfied."/>
      </w:tblPr>
      <w:tblGrid>
        <w:gridCol w:w="2376"/>
        <w:gridCol w:w="1373"/>
        <w:gridCol w:w="1373"/>
        <w:gridCol w:w="1374"/>
        <w:gridCol w:w="1373"/>
        <w:gridCol w:w="1374"/>
      </w:tblGrid>
      <w:tr w:rsidR="00CB756C" w:rsidRPr="00997B92" w:rsidTr="009E5945">
        <w:trPr>
          <w:jc w:val="center"/>
        </w:trPr>
        <w:tc>
          <w:tcPr>
            <w:tcW w:w="2376" w:type="dxa"/>
            <w:shd w:val="clear" w:color="auto" w:fill="auto"/>
          </w:tcPr>
          <w:p w:rsidR="00CB756C" w:rsidRPr="00997B92" w:rsidRDefault="00CB756C" w:rsidP="0018586D">
            <w:pPr>
              <w:numPr>
                <w:ilvl w:val="0"/>
                <w:numId w:val="18"/>
              </w:numPr>
              <w:rPr>
                <w:b/>
              </w:rPr>
            </w:pPr>
            <w:r w:rsidRPr="00997B92">
              <w:rPr>
                <w:b/>
              </w:rPr>
              <w:t>How satisfied were you with this consultation process?</w:t>
            </w:r>
          </w:p>
        </w:tc>
        <w:tc>
          <w:tcPr>
            <w:tcW w:w="1373" w:type="dxa"/>
            <w:shd w:val="clear" w:color="auto" w:fill="auto"/>
          </w:tcPr>
          <w:p w:rsidR="00CB756C" w:rsidRPr="00997B92" w:rsidRDefault="00CB756C" w:rsidP="009E5945">
            <w:pPr>
              <w:jc w:val="center"/>
            </w:pPr>
            <w:r w:rsidRPr="00997B92">
              <w:t>Very unhappy</w:t>
            </w:r>
          </w:p>
        </w:tc>
        <w:tc>
          <w:tcPr>
            <w:tcW w:w="1373" w:type="dxa"/>
            <w:shd w:val="clear" w:color="auto" w:fill="auto"/>
          </w:tcPr>
          <w:p w:rsidR="00CB756C" w:rsidRPr="00997B92" w:rsidRDefault="00CB756C" w:rsidP="009E5945">
            <w:pPr>
              <w:jc w:val="center"/>
            </w:pPr>
            <w:r w:rsidRPr="00997B92">
              <w:t>Unhappy</w:t>
            </w:r>
          </w:p>
        </w:tc>
        <w:tc>
          <w:tcPr>
            <w:tcW w:w="1374" w:type="dxa"/>
            <w:shd w:val="clear" w:color="auto" w:fill="auto"/>
          </w:tcPr>
          <w:p w:rsidR="00CB756C" w:rsidRPr="00997B92" w:rsidRDefault="00CB756C" w:rsidP="009E5945">
            <w:pPr>
              <w:jc w:val="center"/>
            </w:pPr>
            <w:r w:rsidRPr="00997B92">
              <w:t>Neutral</w:t>
            </w:r>
          </w:p>
        </w:tc>
        <w:tc>
          <w:tcPr>
            <w:tcW w:w="1373" w:type="dxa"/>
            <w:shd w:val="clear" w:color="auto" w:fill="auto"/>
          </w:tcPr>
          <w:p w:rsidR="00CB756C" w:rsidRPr="00997B92" w:rsidRDefault="00CB756C" w:rsidP="009E5945">
            <w:pPr>
              <w:jc w:val="center"/>
            </w:pPr>
            <w:r w:rsidRPr="00997B92">
              <w:t>Satisfied</w:t>
            </w:r>
          </w:p>
        </w:tc>
        <w:tc>
          <w:tcPr>
            <w:tcW w:w="1374" w:type="dxa"/>
            <w:shd w:val="clear" w:color="auto" w:fill="auto"/>
          </w:tcPr>
          <w:p w:rsidR="00CB756C" w:rsidRPr="00997B92" w:rsidRDefault="00CB756C" w:rsidP="009E5945">
            <w:pPr>
              <w:jc w:val="center"/>
            </w:pPr>
            <w:r w:rsidRPr="00997B92">
              <w:t>Highly satisfied</w:t>
            </w:r>
          </w:p>
        </w:tc>
      </w:tr>
    </w:tbl>
    <w:p w:rsidR="00CB756C" w:rsidRPr="00997B92" w:rsidRDefault="00CB756C" w:rsidP="0018586D">
      <w:pPr>
        <w:numPr>
          <w:ilvl w:val="0"/>
          <w:numId w:val="18"/>
        </w:numPr>
        <w:jc w:val="both"/>
        <w:rPr>
          <w:b/>
        </w:rPr>
      </w:pPr>
      <w:r w:rsidRPr="00997B92">
        <w:rPr>
          <w:b/>
        </w:rPr>
        <w:t>On what basis do you make this judgement? (500 word limit; if you do not wish to provide a response please insert N/A)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3"/>
      </w:tblGrid>
      <w:tr w:rsidR="00CB756C" w:rsidRPr="00997B92" w:rsidTr="009E5945">
        <w:tc>
          <w:tcPr>
            <w:tcW w:w="9243" w:type="dxa"/>
            <w:shd w:val="clear" w:color="auto" w:fill="auto"/>
          </w:tcPr>
          <w:p w:rsidR="00CB756C" w:rsidRPr="00997B92" w:rsidRDefault="00CB756C" w:rsidP="009E5945">
            <w:r w:rsidRPr="00997B92">
              <w:t>INSERT RESPONSE</w:t>
            </w:r>
          </w:p>
        </w:tc>
      </w:tr>
    </w:tbl>
    <w:p w:rsidR="00CB756C" w:rsidRPr="00997B92" w:rsidRDefault="00CB756C" w:rsidP="0018586D">
      <w:pPr>
        <w:numPr>
          <w:ilvl w:val="0"/>
          <w:numId w:val="18"/>
        </w:numPr>
        <w:jc w:val="both"/>
        <w:rPr>
          <w:b/>
        </w:rPr>
      </w:pPr>
      <w:r w:rsidRPr="00997B92">
        <w:rPr>
          <w:b/>
        </w:rPr>
        <w:t>Do you have any specific comments about this consultation process? (500 word limit; if you do not wish to provide a response please insert N/A)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3"/>
      </w:tblGrid>
      <w:tr w:rsidR="00CB756C" w:rsidRPr="00997B92" w:rsidTr="009E5945">
        <w:tc>
          <w:tcPr>
            <w:tcW w:w="9243" w:type="dxa"/>
            <w:shd w:val="clear" w:color="auto" w:fill="auto"/>
          </w:tcPr>
          <w:p w:rsidR="00CB756C" w:rsidRPr="00997B92" w:rsidRDefault="00CB756C" w:rsidP="009E5945">
            <w:r w:rsidRPr="00997B92">
              <w:t>INSERT RESPONSE</w:t>
            </w:r>
          </w:p>
        </w:tc>
      </w:tr>
    </w:tbl>
    <w:p w:rsidR="00CB756C" w:rsidRPr="00997B92" w:rsidRDefault="00CB756C" w:rsidP="00CB756C">
      <w:r w:rsidRPr="00997B92">
        <w:br w:type="page"/>
      </w:r>
      <w:r w:rsidRPr="00997B92">
        <w:lastRenderedPageBreak/>
        <w:t>Thank you for submitting a response</w:t>
      </w:r>
    </w:p>
    <w:p w:rsidR="00CB756C" w:rsidRPr="00997B92" w:rsidRDefault="00CB756C" w:rsidP="00CB756C">
      <w:r w:rsidRPr="00997B92">
        <w:t>If you wish to supply any documentation to support your response please send it to</w:t>
      </w:r>
      <w:proofErr w:type="gramStart"/>
      <w:r w:rsidRPr="00997B92">
        <w:t>:</w:t>
      </w:r>
      <w:proofErr w:type="gramEnd"/>
      <w:r w:rsidRPr="00997B92">
        <w:br/>
      </w:r>
      <w:r w:rsidRPr="001A6953">
        <w:t>plainpackaging@sigginsmiller.com.au.</w:t>
      </w:r>
    </w:p>
    <w:p w:rsidR="00CB756C" w:rsidRPr="00997B92" w:rsidRDefault="00CB756C" w:rsidP="00CB756C">
      <w:r w:rsidRPr="00997B92">
        <w:t>If possible, please include in your email:</w:t>
      </w:r>
    </w:p>
    <w:p w:rsidR="00CB756C" w:rsidRPr="00997B92" w:rsidRDefault="00CB756C" w:rsidP="0018586D">
      <w:pPr>
        <w:numPr>
          <w:ilvl w:val="0"/>
          <w:numId w:val="19"/>
        </w:numPr>
        <w:jc w:val="both"/>
      </w:pPr>
      <w:r w:rsidRPr="00997B92">
        <w:t xml:space="preserve">the Response ID on this page  </w:t>
      </w:r>
    </w:p>
    <w:p w:rsidR="00CB756C" w:rsidRPr="00997B92" w:rsidRDefault="00CB756C" w:rsidP="0018586D">
      <w:pPr>
        <w:numPr>
          <w:ilvl w:val="0"/>
          <w:numId w:val="19"/>
        </w:numPr>
        <w:jc w:val="both"/>
      </w:pPr>
      <w:proofErr w:type="gramStart"/>
      <w:r w:rsidRPr="00997B92">
        <w:t>the</w:t>
      </w:r>
      <w:proofErr w:type="gramEnd"/>
      <w:r w:rsidRPr="00997B92">
        <w:t xml:space="preserve"> question number which the documentation and/or data relates to. </w:t>
      </w:r>
    </w:p>
    <w:p w:rsidR="00CB756C" w:rsidRPr="00CB756C" w:rsidRDefault="00CB756C" w:rsidP="00CB756C">
      <w:pPr>
        <w:pStyle w:val="BulletPoints"/>
        <w:numPr>
          <w:ilvl w:val="0"/>
          <w:numId w:val="0"/>
        </w:numPr>
        <w:ind w:left="357" w:hanging="357"/>
      </w:pPr>
    </w:p>
    <w:sectPr w:rsidR="00CB756C" w:rsidRPr="00CB756C" w:rsidSect="00D3639E">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5F0" w:rsidRDefault="00D965F0" w:rsidP="00003879">
      <w:pPr>
        <w:spacing w:after="0"/>
      </w:pPr>
      <w:r>
        <w:separator/>
      </w:r>
    </w:p>
  </w:endnote>
  <w:endnote w:type="continuationSeparator" w:id="0">
    <w:p w:rsidR="00D965F0" w:rsidRDefault="00D965F0" w:rsidP="000038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Bliss">
    <w:altName w:val="Bliss"/>
    <w:panose1 w:val="00000000000000000000"/>
    <w:charset w:val="00"/>
    <w:family w:val="swiss"/>
    <w:notTrueType/>
    <w:pitch w:val="default"/>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F5E" w:rsidRDefault="00323F5E">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Default="003B77BD" w:rsidP="00CA5171">
    <w:pPr>
      <w:pStyle w:val="Footer"/>
      <w:jc w:val="center"/>
    </w:pPr>
    <w:r>
      <w:rPr>
        <w:b/>
        <w:noProof/>
        <w:color w:val="C0C0C0"/>
        <w:sz w:val="18"/>
        <w:lang w:eastAsia="en-AU"/>
      </w:rPr>
      <w:drawing>
        <wp:inline distT="0" distB="0" distL="0" distR="0" wp14:anchorId="3866F311" wp14:editId="6087B003">
          <wp:extent cx="1095375" cy="285750"/>
          <wp:effectExtent l="0" t="0" r="9525" b="0"/>
          <wp:docPr id="8" name="Picture 8" descr="Siggins Mill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C 2006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285750"/>
                  </a:xfrm>
                  <a:prstGeom prst="rect">
                    <a:avLst/>
                  </a:prstGeom>
                  <a:noFill/>
                  <a:ln>
                    <a:noFill/>
                  </a:ln>
                </pic:spPr>
              </pic:pic>
            </a:graphicData>
          </a:graphic>
        </wp:inline>
      </w:drawing>
    </w:r>
    <w:r w:rsidRPr="00C8291A">
      <w:rPr>
        <w:b/>
        <w:bCs/>
        <w:color w:val="C0C0C0"/>
        <w:sz w:val="18"/>
      </w:rPr>
      <w:tab/>
    </w:r>
    <w:r w:rsidRPr="008F7FCF">
      <w:rPr>
        <w:rFonts w:cs="Times New Roman"/>
        <w:b/>
        <w:bCs/>
        <w:color w:val="808080"/>
        <w:sz w:val="18"/>
      </w:rPr>
      <w:t>Tobacco Plain Packaging</w:t>
    </w:r>
    <w:r w:rsidRPr="008F7FCF">
      <w:rPr>
        <w:rFonts w:cs="Times New Roman"/>
        <w:b/>
        <w:bCs/>
        <w:color w:val="808080"/>
        <w:sz w:val="18"/>
      </w:rPr>
      <w:tab/>
    </w:r>
    <w:r w:rsidRPr="008F7FCF">
      <w:rPr>
        <w:rFonts w:cs="Times New Roman"/>
        <w:b/>
        <w:bCs/>
        <w:color w:val="808080"/>
        <w:sz w:val="18"/>
      </w:rPr>
      <w:fldChar w:fldCharType="begin"/>
    </w:r>
    <w:r w:rsidRPr="008F7FCF">
      <w:rPr>
        <w:rFonts w:cs="Times New Roman"/>
        <w:b/>
        <w:bCs/>
        <w:color w:val="808080"/>
        <w:sz w:val="18"/>
      </w:rPr>
      <w:instrText xml:space="preserve"> PAGE   \* MERGEFORMAT </w:instrText>
    </w:r>
    <w:r w:rsidRPr="008F7FCF">
      <w:rPr>
        <w:rFonts w:cs="Times New Roman"/>
        <w:b/>
        <w:bCs/>
        <w:color w:val="808080"/>
        <w:sz w:val="18"/>
      </w:rPr>
      <w:fldChar w:fldCharType="separate"/>
    </w:r>
    <w:r w:rsidR="00CE36BA">
      <w:rPr>
        <w:rFonts w:cs="Times New Roman"/>
        <w:b/>
        <w:bCs/>
        <w:noProof/>
        <w:color w:val="808080"/>
        <w:sz w:val="18"/>
      </w:rPr>
      <w:t>65</w:t>
    </w:r>
    <w:r w:rsidRPr="008F7FCF">
      <w:rPr>
        <w:rFonts w:cs="Times New Roman"/>
        <w:b/>
        <w:bCs/>
        <w:noProof/>
        <w:color w:val="808080"/>
        <w:sz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Pr="00D3639E" w:rsidRDefault="003B77BD" w:rsidP="00D3639E">
    <w:pPr>
      <w:pStyle w:val="Footer"/>
      <w:jc w:val="center"/>
      <w:rPr>
        <w:sz w:val="18"/>
        <w:szCs w:val="18"/>
      </w:rPr>
    </w:pPr>
    <w:r w:rsidRPr="003314C6">
      <w:rPr>
        <w:b/>
        <w:noProof/>
        <w:color w:val="C0C0C0"/>
        <w:sz w:val="18"/>
        <w:szCs w:val="18"/>
        <w:lang w:eastAsia="en-AU"/>
      </w:rPr>
      <w:drawing>
        <wp:inline distT="0" distB="0" distL="0" distR="0" wp14:anchorId="50783EF4" wp14:editId="3013E4A4">
          <wp:extent cx="1095375" cy="284480"/>
          <wp:effectExtent l="0" t="0" r="9525" b="1270"/>
          <wp:docPr id="17" name="Picture 17" descr="Siggins Mill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2" descr="SMC 2006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284480"/>
                  </a:xfrm>
                  <a:prstGeom prst="rect">
                    <a:avLst/>
                  </a:prstGeom>
                  <a:noFill/>
                  <a:ln>
                    <a:noFill/>
                  </a:ln>
                </pic:spPr>
              </pic:pic>
            </a:graphicData>
          </a:graphic>
        </wp:inline>
      </w:drawing>
    </w:r>
    <w:r w:rsidRPr="003314C6">
      <w:rPr>
        <w:b/>
        <w:bCs/>
        <w:color w:val="C0C0C0"/>
        <w:sz w:val="18"/>
        <w:szCs w:val="18"/>
      </w:rPr>
      <w:tab/>
    </w:r>
    <w:r w:rsidRPr="003314C6">
      <w:rPr>
        <w:b/>
        <w:bCs/>
        <w:color w:val="808080"/>
        <w:sz w:val="18"/>
        <w:szCs w:val="18"/>
      </w:rPr>
      <w:t>Tobacco Plain Packaging</w:t>
    </w:r>
    <w:r w:rsidRPr="003314C6">
      <w:rPr>
        <w:b/>
        <w:bCs/>
        <w:color w:val="808080"/>
        <w:sz w:val="18"/>
        <w:szCs w:val="18"/>
      </w:rPr>
      <w:tab/>
    </w:r>
    <w:r w:rsidRPr="003314C6">
      <w:rPr>
        <w:b/>
        <w:bCs/>
        <w:color w:val="808080"/>
        <w:sz w:val="18"/>
        <w:szCs w:val="18"/>
      </w:rPr>
      <w:fldChar w:fldCharType="begin"/>
    </w:r>
    <w:r w:rsidRPr="003314C6">
      <w:rPr>
        <w:b/>
        <w:bCs/>
        <w:color w:val="808080"/>
        <w:sz w:val="18"/>
        <w:szCs w:val="18"/>
      </w:rPr>
      <w:instrText xml:space="preserve"> PAGE   \* MERGEFORMAT </w:instrText>
    </w:r>
    <w:r w:rsidRPr="003314C6">
      <w:rPr>
        <w:b/>
        <w:bCs/>
        <w:color w:val="808080"/>
        <w:sz w:val="18"/>
        <w:szCs w:val="18"/>
      </w:rPr>
      <w:fldChar w:fldCharType="separate"/>
    </w:r>
    <w:r w:rsidR="00CE36BA">
      <w:rPr>
        <w:b/>
        <w:bCs/>
        <w:noProof/>
        <w:color w:val="808080"/>
        <w:sz w:val="18"/>
        <w:szCs w:val="18"/>
      </w:rPr>
      <w:t>72</w:t>
    </w:r>
    <w:r w:rsidRPr="003314C6">
      <w:rPr>
        <w:b/>
        <w:bCs/>
        <w:noProof/>
        <w:color w:val="808080"/>
        <w:sz w:val="18"/>
        <w:szCs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Pr="00C8291A" w:rsidRDefault="003B77BD" w:rsidP="009E5945">
    <w:pPr>
      <w:pStyle w:val="Footer"/>
      <w:jc w:val="center"/>
      <w:rPr>
        <w:sz w:val="22"/>
      </w:rPr>
    </w:pPr>
    <w:r w:rsidRPr="00C8291A">
      <w:rPr>
        <w:b/>
        <w:noProof/>
        <w:color w:val="C0C0C0"/>
        <w:sz w:val="18"/>
        <w:lang w:eastAsia="en-AU"/>
      </w:rPr>
      <w:drawing>
        <wp:inline distT="0" distB="0" distL="0" distR="0" wp14:anchorId="063744CB" wp14:editId="1156D1BA">
          <wp:extent cx="1095375" cy="284480"/>
          <wp:effectExtent l="0" t="0" r="9525" b="1270"/>
          <wp:docPr id="18" name="Picture 18" descr="Siggins Mill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descr="SMC 2006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284480"/>
                  </a:xfrm>
                  <a:prstGeom prst="rect">
                    <a:avLst/>
                  </a:prstGeom>
                  <a:noFill/>
                  <a:ln>
                    <a:noFill/>
                  </a:ln>
                </pic:spPr>
              </pic:pic>
            </a:graphicData>
          </a:graphic>
        </wp:inline>
      </w:drawing>
    </w:r>
    <w:r w:rsidRPr="00C8291A">
      <w:rPr>
        <w:b/>
        <w:bCs/>
        <w:color w:val="C0C0C0"/>
        <w:sz w:val="18"/>
      </w:rPr>
      <w:tab/>
    </w:r>
    <w:r w:rsidRPr="00C8291A">
      <w:rPr>
        <w:b/>
        <w:bCs/>
        <w:color w:val="808080"/>
        <w:sz w:val="18"/>
      </w:rPr>
      <w:t>Tobacco Plain Packaging</w:t>
    </w:r>
    <w:r w:rsidRPr="00C8291A">
      <w:rPr>
        <w:b/>
        <w:bCs/>
        <w:color w:val="808080"/>
        <w:sz w:val="18"/>
      </w:rPr>
      <w:tab/>
    </w:r>
    <w:r w:rsidRPr="00C8291A">
      <w:rPr>
        <w:b/>
        <w:bCs/>
        <w:color w:val="808080"/>
        <w:sz w:val="18"/>
      </w:rPr>
      <w:fldChar w:fldCharType="begin"/>
    </w:r>
    <w:r w:rsidRPr="00C8291A">
      <w:rPr>
        <w:b/>
        <w:bCs/>
        <w:color w:val="808080"/>
        <w:sz w:val="18"/>
      </w:rPr>
      <w:instrText xml:space="preserve"> PAGE   \* MERGEFORMAT </w:instrText>
    </w:r>
    <w:r w:rsidRPr="00C8291A">
      <w:rPr>
        <w:b/>
        <w:bCs/>
        <w:color w:val="808080"/>
        <w:sz w:val="18"/>
      </w:rPr>
      <w:fldChar w:fldCharType="separate"/>
    </w:r>
    <w:r w:rsidR="00CE36BA">
      <w:rPr>
        <w:b/>
        <w:bCs/>
        <w:noProof/>
        <w:color w:val="808080"/>
        <w:sz w:val="18"/>
      </w:rPr>
      <w:t>86</w:t>
    </w:r>
    <w:r w:rsidRPr="00C8291A">
      <w:rPr>
        <w:b/>
        <w:bCs/>
        <w:noProof/>
        <w:color w:val="808080"/>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Pr="001410E6" w:rsidRDefault="003B77BD">
    <w:pPr>
      <w:pStyle w:val="Footer"/>
      <w:rPr>
        <w:sz w:val="18"/>
        <w:szCs w:val="18"/>
      </w:rPr>
    </w:pPr>
    <w:r>
      <w:rPr>
        <w:b/>
        <w:noProof/>
        <w:color w:val="C0C0C0"/>
        <w:sz w:val="18"/>
        <w:szCs w:val="18"/>
        <w:lang w:eastAsia="en-AU"/>
      </w:rPr>
      <w:drawing>
        <wp:inline distT="0" distB="0" distL="0" distR="0" wp14:anchorId="55FAD25B" wp14:editId="1264DF7A">
          <wp:extent cx="1095375" cy="285750"/>
          <wp:effectExtent l="0" t="0" r="9525" b="0"/>
          <wp:docPr id="6" name="Picture 6" descr="Siggins Mill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C 2006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285750"/>
                  </a:xfrm>
                  <a:prstGeom prst="rect">
                    <a:avLst/>
                  </a:prstGeom>
                  <a:noFill/>
                  <a:ln>
                    <a:noFill/>
                  </a:ln>
                </pic:spPr>
              </pic:pic>
            </a:graphicData>
          </a:graphic>
        </wp:inline>
      </w:drawing>
    </w:r>
    <w:r w:rsidRPr="00455B6F">
      <w:rPr>
        <w:b/>
        <w:bCs/>
        <w:color w:val="C0C0C0"/>
        <w:sz w:val="18"/>
        <w:szCs w:val="18"/>
      </w:rPr>
      <w:tab/>
    </w:r>
    <w:r w:rsidRPr="00455B6F">
      <w:rPr>
        <w:b/>
        <w:bCs/>
        <w:color w:val="808080"/>
        <w:sz w:val="18"/>
        <w:szCs w:val="18"/>
      </w:rPr>
      <w:t>Tobacco Plain Packaging</w:t>
    </w:r>
    <w:r w:rsidRPr="00455B6F">
      <w:rPr>
        <w:b/>
        <w:bCs/>
        <w:color w:val="808080"/>
        <w:sz w:val="18"/>
        <w:szCs w:val="18"/>
      </w:rPr>
      <w:tab/>
    </w:r>
    <w:r w:rsidRPr="00455B6F">
      <w:rPr>
        <w:b/>
        <w:bCs/>
        <w:color w:val="808080"/>
        <w:sz w:val="18"/>
        <w:szCs w:val="18"/>
      </w:rPr>
      <w:fldChar w:fldCharType="begin"/>
    </w:r>
    <w:r w:rsidRPr="00455B6F">
      <w:rPr>
        <w:b/>
        <w:bCs/>
        <w:color w:val="808080"/>
        <w:sz w:val="18"/>
        <w:szCs w:val="18"/>
      </w:rPr>
      <w:instrText xml:space="preserve"> PAGE   \* MERGEFORMAT </w:instrText>
    </w:r>
    <w:r w:rsidRPr="00455B6F">
      <w:rPr>
        <w:b/>
        <w:bCs/>
        <w:color w:val="808080"/>
        <w:sz w:val="18"/>
        <w:szCs w:val="18"/>
      </w:rPr>
      <w:fldChar w:fldCharType="separate"/>
    </w:r>
    <w:r w:rsidR="00CE36BA">
      <w:rPr>
        <w:b/>
        <w:bCs/>
        <w:noProof/>
        <w:color w:val="808080"/>
        <w:sz w:val="18"/>
        <w:szCs w:val="18"/>
      </w:rPr>
      <w:t>vi</w:t>
    </w:r>
    <w:r w:rsidRPr="00455B6F">
      <w:rPr>
        <w:b/>
        <w:bCs/>
        <w:noProof/>
        <w:color w:val="80808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823465"/>
      <w:docPartObj>
        <w:docPartGallery w:val="Page Numbers (Bottom of Page)"/>
        <w:docPartUnique/>
      </w:docPartObj>
    </w:sdtPr>
    <w:sdtEndPr>
      <w:rPr>
        <w:noProof/>
      </w:rPr>
    </w:sdtEndPr>
    <w:sdtContent>
      <w:p w:rsidR="003B77BD" w:rsidRDefault="003B77BD">
        <w:pPr>
          <w:pStyle w:val="Footer"/>
          <w:jc w:val="right"/>
        </w:pPr>
        <w:r>
          <w:fldChar w:fldCharType="begin"/>
        </w:r>
        <w:r>
          <w:instrText xml:space="preserve"> PAGE   \* MERGEFORMAT </w:instrText>
        </w:r>
        <w:r>
          <w:fldChar w:fldCharType="separate"/>
        </w:r>
        <w:r w:rsidR="00CE36BA">
          <w:rPr>
            <w:noProof/>
          </w:rPr>
          <w:t>i</w:t>
        </w:r>
        <w:r>
          <w:rPr>
            <w:noProof/>
          </w:rPr>
          <w:fldChar w:fldCharType="end"/>
        </w:r>
      </w:p>
    </w:sdtContent>
  </w:sdt>
  <w:p w:rsidR="003B77BD" w:rsidRPr="00006F0C" w:rsidRDefault="003B77BD">
    <w:pPr>
      <w:pStyle w:val="Footer"/>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Pr="00821B76" w:rsidRDefault="003B77BD" w:rsidP="009E5945">
    <w:pPr>
      <w:pStyle w:val="Footer"/>
      <w:jc w:val="center"/>
    </w:pPr>
    <w:r>
      <w:rPr>
        <w:b/>
        <w:noProof/>
        <w:color w:val="C0C0C0"/>
        <w:sz w:val="18"/>
        <w:lang w:eastAsia="en-AU"/>
      </w:rPr>
      <w:drawing>
        <wp:inline distT="0" distB="0" distL="0" distR="0" wp14:anchorId="347BE87D" wp14:editId="1092CE1E">
          <wp:extent cx="1095375" cy="285750"/>
          <wp:effectExtent l="0" t="0" r="9525" b="0"/>
          <wp:docPr id="14" name="Picture 14" descr="Siggins Mill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C 2006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285750"/>
                  </a:xfrm>
                  <a:prstGeom prst="rect">
                    <a:avLst/>
                  </a:prstGeom>
                  <a:noFill/>
                  <a:ln>
                    <a:noFill/>
                  </a:ln>
                </pic:spPr>
              </pic:pic>
            </a:graphicData>
          </a:graphic>
        </wp:inline>
      </w:drawing>
    </w:r>
    <w:r w:rsidRPr="00C8291A">
      <w:rPr>
        <w:b/>
        <w:bCs/>
        <w:color w:val="C0C0C0"/>
        <w:sz w:val="18"/>
      </w:rPr>
      <w:tab/>
    </w:r>
    <w:r w:rsidRPr="008F7FCF">
      <w:rPr>
        <w:rFonts w:cs="Times New Roman"/>
        <w:b/>
        <w:bCs/>
        <w:color w:val="808080"/>
        <w:sz w:val="18"/>
      </w:rPr>
      <w:t>Tobacco Plain Packaging</w:t>
    </w:r>
    <w:r w:rsidRPr="008F7FCF">
      <w:rPr>
        <w:rFonts w:cs="Times New Roman"/>
        <w:b/>
        <w:bCs/>
        <w:color w:val="808080"/>
        <w:sz w:val="18"/>
      </w:rPr>
      <w:tab/>
    </w:r>
    <w:r w:rsidRPr="008F7FCF">
      <w:rPr>
        <w:rFonts w:cs="Times New Roman"/>
        <w:b/>
        <w:bCs/>
        <w:color w:val="808080"/>
        <w:sz w:val="18"/>
      </w:rPr>
      <w:fldChar w:fldCharType="begin"/>
    </w:r>
    <w:r w:rsidRPr="008F7FCF">
      <w:rPr>
        <w:rFonts w:cs="Times New Roman"/>
        <w:b/>
        <w:bCs/>
        <w:color w:val="808080"/>
        <w:sz w:val="18"/>
      </w:rPr>
      <w:instrText xml:space="preserve"> PAGE   \* MERGEFORMAT </w:instrText>
    </w:r>
    <w:r w:rsidRPr="008F7FCF">
      <w:rPr>
        <w:rFonts w:cs="Times New Roman"/>
        <w:b/>
        <w:bCs/>
        <w:color w:val="808080"/>
        <w:sz w:val="18"/>
      </w:rPr>
      <w:fldChar w:fldCharType="separate"/>
    </w:r>
    <w:r w:rsidR="00CE36BA">
      <w:rPr>
        <w:rFonts w:cs="Times New Roman"/>
        <w:b/>
        <w:bCs/>
        <w:noProof/>
        <w:color w:val="808080"/>
        <w:sz w:val="18"/>
      </w:rPr>
      <w:t>63</w:t>
    </w:r>
    <w:r w:rsidRPr="008F7FCF">
      <w:rPr>
        <w:rFonts w:cs="Times New Roman"/>
        <w:b/>
        <w:bCs/>
        <w:noProof/>
        <w:color w:val="808080"/>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Pr="008039BA" w:rsidRDefault="003B77BD" w:rsidP="008039BA">
    <w:pPr>
      <w:pStyle w:val="Footer"/>
      <w:jc w:val="right"/>
      <w:rPr>
        <w:noProof/>
      </w:rPr>
    </w:pPr>
    <w:r>
      <w:rPr>
        <w:b/>
        <w:noProof/>
        <w:color w:val="C0C0C0"/>
        <w:sz w:val="18"/>
        <w:lang w:eastAsia="en-AU"/>
      </w:rPr>
      <w:drawing>
        <wp:inline distT="0" distB="0" distL="0" distR="0" wp14:anchorId="6AFA0C0B" wp14:editId="15ACF636">
          <wp:extent cx="1095375" cy="285750"/>
          <wp:effectExtent l="0" t="0" r="9525" b="0"/>
          <wp:docPr id="5" name="Picture 5" descr="Siggins Mill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C 2006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285750"/>
                  </a:xfrm>
                  <a:prstGeom prst="rect">
                    <a:avLst/>
                  </a:prstGeom>
                  <a:noFill/>
                  <a:ln>
                    <a:noFill/>
                  </a:ln>
                </pic:spPr>
              </pic:pic>
            </a:graphicData>
          </a:graphic>
        </wp:inline>
      </w:drawing>
    </w:r>
    <w:r w:rsidRPr="00C8291A">
      <w:rPr>
        <w:b/>
        <w:bCs/>
        <w:color w:val="C0C0C0"/>
        <w:sz w:val="18"/>
      </w:rPr>
      <w:tab/>
    </w:r>
    <w:r w:rsidRPr="008F7FCF">
      <w:rPr>
        <w:rFonts w:cs="Times New Roman"/>
        <w:b/>
        <w:bCs/>
        <w:color w:val="808080"/>
        <w:sz w:val="18"/>
      </w:rPr>
      <w:t>Tobacco Plain Packaging</w:t>
    </w:r>
    <w:r w:rsidRPr="008F7FCF">
      <w:rPr>
        <w:rFonts w:cs="Times New Roman"/>
        <w:b/>
        <w:bCs/>
        <w:color w:val="808080"/>
        <w:sz w:val="18"/>
      </w:rPr>
      <w:tab/>
    </w:r>
    <w:sdt>
      <w:sdtPr>
        <w:rPr>
          <w:rFonts w:cs="Times New Roman"/>
          <w:b/>
          <w:bCs/>
          <w:color w:val="808080"/>
          <w:sz w:val="18"/>
        </w:rPr>
        <w:id w:val="-861588886"/>
        <w:docPartObj>
          <w:docPartGallery w:val="Page Numbers (Bottom of Page)"/>
          <w:docPartUnique/>
        </w:docPartObj>
      </w:sdtPr>
      <w:sdtEndPr/>
      <w:sdtContent>
        <w:r w:rsidRPr="008039BA">
          <w:rPr>
            <w:rFonts w:cs="Times New Roman"/>
            <w:b/>
            <w:bCs/>
            <w:color w:val="808080"/>
            <w:sz w:val="18"/>
          </w:rPr>
          <w:fldChar w:fldCharType="begin"/>
        </w:r>
        <w:r w:rsidRPr="008039BA">
          <w:rPr>
            <w:rFonts w:cs="Times New Roman"/>
            <w:b/>
            <w:bCs/>
            <w:color w:val="808080"/>
            <w:sz w:val="18"/>
          </w:rPr>
          <w:instrText xml:space="preserve"> PAGE   \* MERGEFORMAT </w:instrText>
        </w:r>
        <w:r w:rsidRPr="008039BA">
          <w:rPr>
            <w:rFonts w:cs="Times New Roman"/>
            <w:b/>
            <w:bCs/>
            <w:color w:val="808080"/>
            <w:sz w:val="18"/>
          </w:rPr>
          <w:fldChar w:fldCharType="separate"/>
        </w:r>
        <w:r w:rsidR="00CE36BA">
          <w:rPr>
            <w:rFonts w:cs="Times New Roman"/>
            <w:b/>
            <w:bCs/>
            <w:noProof/>
            <w:color w:val="808080"/>
            <w:sz w:val="18"/>
          </w:rPr>
          <w:t>1</w:t>
        </w:r>
        <w:r w:rsidRPr="008039BA">
          <w:rPr>
            <w:rFonts w:cs="Times New Roman"/>
            <w:b/>
            <w:bCs/>
            <w:color w:val="808080"/>
            <w:sz w:val="18"/>
          </w:rPr>
          <w:fldChar w:fldCharType="end"/>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Pr="00FA1CB6" w:rsidRDefault="003B77BD" w:rsidP="009E5945">
    <w:pPr>
      <w:pStyle w:val="Footer"/>
    </w:pPr>
    <w:r>
      <w:rPr>
        <w:b/>
        <w:noProof/>
        <w:color w:val="C0C0C0"/>
        <w:sz w:val="18"/>
        <w:lang w:eastAsia="en-AU"/>
      </w:rPr>
      <w:drawing>
        <wp:inline distT="0" distB="0" distL="0" distR="0" wp14:anchorId="5BC9C208" wp14:editId="662589E4">
          <wp:extent cx="1095375" cy="285750"/>
          <wp:effectExtent l="0" t="0" r="9525" b="0"/>
          <wp:docPr id="15" name="Picture 15" descr="Siggins Mill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C 2006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285750"/>
                  </a:xfrm>
                  <a:prstGeom prst="rect">
                    <a:avLst/>
                  </a:prstGeom>
                  <a:noFill/>
                  <a:ln>
                    <a:noFill/>
                  </a:ln>
                </pic:spPr>
              </pic:pic>
            </a:graphicData>
          </a:graphic>
        </wp:inline>
      </w:drawing>
    </w:r>
    <w:r w:rsidRPr="00C8291A">
      <w:rPr>
        <w:b/>
        <w:bCs/>
        <w:color w:val="C0C0C0"/>
        <w:sz w:val="18"/>
      </w:rPr>
      <w:tab/>
    </w:r>
    <w:r w:rsidRPr="00BE15AF">
      <w:rPr>
        <w:rFonts w:cs="Times New Roman"/>
        <w:b/>
        <w:bCs/>
        <w:color w:val="808080"/>
        <w:sz w:val="18"/>
      </w:rPr>
      <w:t>Tobacco Plain Packaging</w:t>
    </w:r>
    <w:r>
      <w:rPr>
        <w:b/>
        <w:bCs/>
        <w:color w:val="808080"/>
        <w:sz w:val="18"/>
      </w:rPr>
      <w:tab/>
    </w:r>
    <w:r w:rsidRPr="008F7FCF">
      <w:rPr>
        <w:rFonts w:cs="Times New Roman"/>
        <w:b/>
        <w:bCs/>
        <w:noProof/>
        <w:color w:val="808080"/>
        <w:sz w:val="18"/>
      </w:rPr>
      <w:fldChar w:fldCharType="begin"/>
    </w:r>
    <w:r w:rsidRPr="008F7FCF">
      <w:rPr>
        <w:rFonts w:cs="Times New Roman"/>
        <w:b/>
        <w:bCs/>
        <w:noProof/>
        <w:color w:val="808080"/>
        <w:sz w:val="18"/>
      </w:rPr>
      <w:instrText xml:space="preserve"> PAGE   \* MERGEFORMAT </w:instrText>
    </w:r>
    <w:r w:rsidRPr="008F7FCF">
      <w:rPr>
        <w:rFonts w:cs="Times New Roman"/>
        <w:b/>
        <w:bCs/>
        <w:noProof/>
        <w:color w:val="808080"/>
        <w:sz w:val="18"/>
      </w:rPr>
      <w:fldChar w:fldCharType="separate"/>
    </w:r>
    <w:r w:rsidR="00CE36BA">
      <w:rPr>
        <w:rFonts w:cs="Times New Roman"/>
        <w:b/>
        <w:bCs/>
        <w:noProof/>
        <w:color w:val="808080"/>
        <w:sz w:val="18"/>
      </w:rPr>
      <w:t>64</w:t>
    </w:r>
    <w:r w:rsidRPr="008F7FCF">
      <w:rPr>
        <w:rFonts w:cs="Times New Roman"/>
        <w:b/>
        <w:bCs/>
        <w:noProof/>
        <w:color w:val="808080"/>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Pr="00C8291A" w:rsidRDefault="003B77BD" w:rsidP="009E5945">
    <w:pPr>
      <w:pStyle w:val="Footer"/>
      <w:jc w:val="center"/>
      <w:rPr>
        <w:sz w:val="22"/>
      </w:rPr>
    </w:pPr>
    <w:r>
      <w:rPr>
        <w:b/>
        <w:noProof/>
        <w:color w:val="C0C0C0"/>
        <w:sz w:val="18"/>
        <w:lang w:eastAsia="en-AU"/>
      </w:rPr>
      <w:drawing>
        <wp:inline distT="0" distB="0" distL="0" distR="0" wp14:anchorId="4927D9A0" wp14:editId="18D4BB40">
          <wp:extent cx="1095375" cy="285750"/>
          <wp:effectExtent l="0" t="0" r="9525" b="0"/>
          <wp:docPr id="16" name="Picture 22" descr="Siggins Mill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MC 2006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285750"/>
                  </a:xfrm>
                  <a:prstGeom prst="rect">
                    <a:avLst/>
                  </a:prstGeom>
                  <a:noFill/>
                  <a:ln>
                    <a:noFill/>
                  </a:ln>
                </pic:spPr>
              </pic:pic>
            </a:graphicData>
          </a:graphic>
        </wp:inline>
      </w:drawing>
    </w:r>
    <w:r w:rsidRPr="00C8291A">
      <w:rPr>
        <w:b/>
        <w:bCs/>
        <w:color w:val="C0C0C0"/>
        <w:sz w:val="18"/>
      </w:rPr>
      <w:tab/>
    </w:r>
    <w:r w:rsidRPr="00C8291A">
      <w:rPr>
        <w:b/>
        <w:bCs/>
        <w:color w:val="808080"/>
        <w:sz w:val="18"/>
      </w:rPr>
      <w:t>Tobacco Plain Packaging</w:t>
    </w:r>
    <w:r w:rsidRPr="00C8291A">
      <w:rPr>
        <w:b/>
        <w:bCs/>
        <w:color w:val="808080"/>
        <w:sz w:val="18"/>
      </w:rPr>
      <w:tab/>
    </w:r>
    <w:r w:rsidRPr="00C8291A">
      <w:rPr>
        <w:b/>
        <w:bCs/>
        <w:color w:val="808080"/>
        <w:sz w:val="18"/>
      </w:rPr>
      <w:fldChar w:fldCharType="begin"/>
    </w:r>
    <w:r w:rsidRPr="00C8291A">
      <w:rPr>
        <w:b/>
        <w:bCs/>
        <w:color w:val="808080"/>
        <w:sz w:val="18"/>
      </w:rPr>
      <w:instrText xml:space="preserve"> PAGE   \* MERGEFORMAT </w:instrText>
    </w:r>
    <w:r w:rsidRPr="00C8291A">
      <w:rPr>
        <w:b/>
        <w:bCs/>
        <w:color w:val="808080"/>
        <w:sz w:val="18"/>
      </w:rPr>
      <w:fldChar w:fldCharType="separate"/>
    </w:r>
    <w:r>
      <w:rPr>
        <w:b/>
        <w:bCs/>
        <w:noProof/>
        <w:color w:val="808080"/>
        <w:sz w:val="18"/>
      </w:rPr>
      <w:t>6</w:t>
    </w:r>
    <w:r w:rsidRPr="00C8291A">
      <w:rPr>
        <w:b/>
        <w:bCs/>
        <w:noProof/>
        <w:color w:val="808080"/>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Default="003B77BD">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Pr="008435CD" w:rsidRDefault="003B77BD" w:rsidP="00CA5171">
    <w:pPr>
      <w:pStyle w:val="Footer"/>
      <w:jc w:val="center"/>
    </w:pPr>
    <w:r>
      <w:rPr>
        <w:b/>
        <w:noProof/>
        <w:color w:val="C0C0C0"/>
        <w:sz w:val="18"/>
        <w:lang w:eastAsia="en-AU"/>
      </w:rPr>
      <w:drawing>
        <wp:inline distT="0" distB="0" distL="0" distR="0" wp14:anchorId="19363A3A" wp14:editId="5064719A">
          <wp:extent cx="1095375" cy="285750"/>
          <wp:effectExtent l="0" t="0" r="9525" b="0"/>
          <wp:docPr id="9" name="Picture 9" descr="Siggins Mill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C 2006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285750"/>
                  </a:xfrm>
                  <a:prstGeom prst="rect">
                    <a:avLst/>
                  </a:prstGeom>
                  <a:noFill/>
                  <a:ln>
                    <a:noFill/>
                  </a:ln>
                </pic:spPr>
              </pic:pic>
            </a:graphicData>
          </a:graphic>
        </wp:inline>
      </w:drawing>
    </w:r>
    <w:r w:rsidRPr="00C8291A">
      <w:rPr>
        <w:b/>
        <w:bCs/>
        <w:color w:val="C0C0C0"/>
        <w:sz w:val="18"/>
      </w:rPr>
      <w:tab/>
    </w:r>
    <w:r w:rsidRPr="008F7FCF">
      <w:rPr>
        <w:rFonts w:cs="Times New Roman"/>
        <w:b/>
        <w:bCs/>
        <w:color w:val="808080"/>
        <w:sz w:val="18"/>
      </w:rPr>
      <w:t>Tobacco Plain Packaging</w:t>
    </w:r>
    <w:r w:rsidRPr="008F7FCF">
      <w:rPr>
        <w:rFonts w:cs="Times New Roman"/>
        <w:b/>
        <w:bCs/>
        <w:color w:val="808080"/>
        <w:sz w:val="18"/>
      </w:rPr>
      <w:tab/>
    </w:r>
    <w:r w:rsidRPr="008F7FCF">
      <w:rPr>
        <w:rFonts w:cs="Times New Roman"/>
        <w:b/>
        <w:bCs/>
        <w:color w:val="808080"/>
        <w:sz w:val="18"/>
      </w:rPr>
      <w:fldChar w:fldCharType="begin"/>
    </w:r>
    <w:r w:rsidRPr="008F7FCF">
      <w:rPr>
        <w:rFonts w:cs="Times New Roman"/>
        <w:b/>
        <w:bCs/>
        <w:color w:val="808080"/>
        <w:sz w:val="18"/>
      </w:rPr>
      <w:instrText xml:space="preserve"> PAGE   \* MERGEFORMAT </w:instrText>
    </w:r>
    <w:r w:rsidRPr="008F7FCF">
      <w:rPr>
        <w:rFonts w:cs="Times New Roman"/>
        <w:b/>
        <w:bCs/>
        <w:color w:val="808080"/>
        <w:sz w:val="18"/>
      </w:rPr>
      <w:fldChar w:fldCharType="separate"/>
    </w:r>
    <w:r w:rsidR="00CE36BA">
      <w:rPr>
        <w:rFonts w:cs="Times New Roman"/>
        <w:b/>
        <w:bCs/>
        <w:noProof/>
        <w:color w:val="808080"/>
        <w:sz w:val="18"/>
      </w:rPr>
      <w:t>70</w:t>
    </w:r>
    <w:r w:rsidRPr="008F7FCF">
      <w:rPr>
        <w:rFonts w:cs="Times New Roman"/>
        <w:b/>
        <w:bCs/>
        <w:noProof/>
        <w:color w:val="808080"/>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5F0" w:rsidRDefault="00D965F0" w:rsidP="00003879">
      <w:pPr>
        <w:spacing w:after="0"/>
      </w:pPr>
      <w:r>
        <w:separator/>
      </w:r>
    </w:p>
  </w:footnote>
  <w:footnote w:type="continuationSeparator" w:id="0">
    <w:p w:rsidR="00D965F0" w:rsidRDefault="00D965F0" w:rsidP="00003879">
      <w:pPr>
        <w:spacing w:after="0"/>
      </w:pPr>
      <w:r>
        <w:continuationSeparator/>
      </w:r>
    </w:p>
  </w:footnote>
  <w:footnote w:id="1">
    <w:p w:rsidR="003B77BD" w:rsidRDefault="003B77BD" w:rsidP="007C79C2">
      <w:pPr>
        <w:pStyle w:val="FootnoteText"/>
        <w:rPr>
          <w:szCs w:val="18"/>
        </w:rPr>
      </w:pPr>
      <w:r>
        <w:rPr>
          <w:rStyle w:val="FootnoteReference"/>
        </w:rPr>
        <w:t>[1]</w:t>
      </w:r>
      <w:r>
        <w:t xml:space="preserve"> Those stakeholders who did not provide a quantitative rating have been included in the denominator as some did go on to provide qualitative responses. </w:t>
      </w:r>
    </w:p>
  </w:footnote>
  <w:footnote w:id="2">
    <w:p w:rsidR="003B77BD" w:rsidRDefault="003B77BD" w:rsidP="004536CB">
      <w:pPr>
        <w:pStyle w:val="FootnoteText"/>
        <w:jc w:val="both"/>
      </w:pPr>
      <w:r>
        <w:rPr>
          <w:rStyle w:val="FootnoteReference"/>
        </w:rPr>
        <w:footnoteRef/>
      </w:r>
      <w:r>
        <w:t xml:space="preserve"> </w:t>
      </w:r>
      <w:r w:rsidRPr="00E96450">
        <w:t xml:space="preserve">A number of federal government agencies whose brief had a potential relationship to the implementation or </w:t>
      </w:r>
      <w:proofErr w:type="gramStart"/>
      <w:r w:rsidRPr="00E96450">
        <w:t>impact of the tobacco plain packaging measure were</w:t>
      </w:r>
      <w:proofErr w:type="gramEnd"/>
      <w:r w:rsidRPr="00E96450">
        <w:t xml:space="preserve"> interviewed. Most of the representatives from these agencies at interview felt unable to comment on the detail of the impact of tobacco plain packaging on the achievement of objectives. They did provide relevant contextual briefing about the roles of government agencies in the regulatory space and information useful for the costing study.</w:t>
      </w:r>
    </w:p>
  </w:footnote>
  <w:footnote w:id="3">
    <w:p w:rsidR="003B77BD" w:rsidRDefault="003B77BD" w:rsidP="004536CB">
      <w:pPr>
        <w:pStyle w:val="FootnoteText"/>
        <w:jc w:val="both"/>
      </w:pPr>
      <w:r>
        <w:rPr>
          <w:rStyle w:val="FootnoteReference"/>
        </w:rPr>
        <w:footnoteRef/>
      </w:r>
      <w:r>
        <w:t xml:space="preserve"> </w:t>
      </w:r>
      <w:r w:rsidRPr="00E96450">
        <w:t>‘Government department/s’ referred to in this report includes state and territory health departments and their affiliate</w:t>
      </w:r>
      <w:r>
        <w:t xml:space="preserve"> government owned institutions.</w:t>
      </w:r>
    </w:p>
  </w:footnote>
  <w:footnote w:id="4">
    <w:p w:rsidR="003B77BD" w:rsidRDefault="003B77BD" w:rsidP="004536CB">
      <w:pPr>
        <w:pStyle w:val="FootnoteText"/>
        <w:jc w:val="both"/>
      </w:pPr>
      <w:r w:rsidRPr="00E97249">
        <w:rPr>
          <w:rStyle w:val="FootnoteReference"/>
        </w:rPr>
        <w:footnoteRef/>
      </w:r>
      <w:r w:rsidRPr="00E97249">
        <w:t xml:space="preserve"> Of those 412 respondents who identified as consumers, 366 (88.83%) were current smokers, 31 (7.52%) were not current smokers and 15 (3.64%) did not specify their smoking status. </w:t>
      </w:r>
      <w:r>
        <w:t>Twenty-three</w:t>
      </w:r>
      <w:r w:rsidRPr="00E97249">
        <w:t xml:space="preserve"> (5.58%)</w:t>
      </w:r>
      <w:r>
        <w:t xml:space="preserve"> consumers</w:t>
      </w:r>
      <w:r w:rsidRPr="00E97249">
        <w:t xml:space="preserve"> indicated they had smoked in the past and 9 (2.18%)</w:t>
      </w:r>
      <w:r>
        <w:t xml:space="preserve"> consumers</w:t>
      </w:r>
      <w:r w:rsidRPr="00E97249">
        <w:t xml:space="preserve"> indicated they had not smoked </w:t>
      </w:r>
      <w:r>
        <w:t>in the past</w:t>
      </w:r>
      <w:r w:rsidRPr="00E97249">
        <w:t>. Please refer to Appendix 1B Table 1B for the demographics of consumers who submitted a response.</w:t>
      </w:r>
    </w:p>
  </w:footnote>
  <w:footnote w:id="5">
    <w:p w:rsidR="003B77BD" w:rsidRDefault="003B77BD" w:rsidP="004536CB">
      <w:pPr>
        <w:pStyle w:val="FootnoteText"/>
        <w:jc w:val="both"/>
      </w:pPr>
      <w:r>
        <w:rPr>
          <w:rStyle w:val="FootnoteReference"/>
        </w:rPr>
        <w:footnoteRef/>
      </w:r>
      <w:r>
        <w:t xml:space="preserve"> </w:t>
      </w:r>
      <w:proofErr w:type="gramStart"/>
      <w:r>
        <w:t>Includes o</w:t>
      </w:r>
      <w:r w:rsidRPr="00790DE9">
        <w:t>ne major tobacco packaging manufacturer and one printer</w:t>
      </w:r>
      <w:r>
        <w:t>.</w:t>
      </w:r>
      <w:proofErr w:type="gramEnd"/>
      <w:r>
        <w:t xml:space="preserve"> </w:t>
      </w:r>
      <w:r w:rsidRPr="00605655">
        <w:t>This category also includes three anonymous online survey respondents who identified as being in either the ‘public health organisations/experts’ and ‘government’ categories. Their qualitative responses however indicated that they were responding in their personal capacity and from their personal experience as smokers and not as experts or on behalf of a government agency or public health organisation. These respondents did not provide any references, supporting documents or research to support their views. For these reasons these stakeholders were categorised into the</w:t>
      </w:r>
      <w:r>
        <w:t xml:space="preserve"> ‘other’ stakeholder category.</w:t>
      </w:r>
    </w:p>
  </w:footnote>
  <w:footnote w:id="6">
    <w:p w:rsidR="003B77BD" w:rsidRDefault="003B77BD" w:rsidP="004536CB">
      <w:pPr>
        <w:pStyle w:val="FootnoteText"/>
      </w:pPr>
      <w:r>
        <w:rPr>
          <w:rStyle w:val="FootnoteReference"/>
        </w:rPr>
        <w:footnoteRef/>
      </w:r>
      <w:r>
        <w:t xml:space="preserve"> For the purposes of this report the ‘online submission’ process is defined as accessing and providing responses via our online platform hosted by </w:t>
      </w:r>
      <w:proofErr w:type="spellStart"/>
      <w:r>
        <w:t>QuestionPro</w:t>
      </w:r>
      <w:proofErr w:type="spellEnd"/>
      <w:r>
        <w:t>.</w:t>
      </w:r>
    </w:p>
  </w:footnote>
  <w:footnote w:id="7">
    <w:p w:rsidR="003B77BD" w:rsidRDefault="003B77BD" w:rsidP="004536CB">
      <w:pPr>
        <w:pStyle w:val="FootnoteText"/>
      </w:pPr>
      <w:r>
        <w:rPr>
          <w:rStyle w:val="FootnoteReference"/>
        </w:rPr>
        <w:footnoteRef/>
      </w:r>
      <w:r>
        <w:t xml:space="preserve"> Those respondents who started the online written submission process but failed to provide any response to non-demographic related questions were omitted from the analysis of consultation data.</w:t>
      </w:r>
    </w:p>
  </w:footnote>
  <w:footnote w:id="8">
    <w:p w:rsidR="003B77BD" w:rsidRDefault="003B77BD" w:rsidP="00FE7970">
      <w:pPr>
        <w:pStyle w:val="FootnoteText"/>
        <w:rPr>
          <w:szCs w:val="18"/>
        </w:rPr>
      </w:pPr>
      <w:r>
        <w:rPr>
          <w:rStyle w:val="FootnoteReference"/>
        </w:rPr>
        <w:t>[1]</w:t>
      </w:r>
      <w:r>
        <w:t xml:space="preserve"> Those stakeholders who did not provide a quantitative rating have been included in the denominator as some did go on to provide qualitative responses.</w:t>
      </w:r>
    </w:p>
  </w:footnote>
  <w:footnote w:id="9">
    <w:p w:rsidR="003B77BD" w:rsidRDefault="003B77BD" w:rsidP="00FE7970">
      <w:pPr>
        <w:pStyle w:val="FootnoteText"/>
        <w:rPr>
          <w:szCs w:val="18"/>
        </w:rPr>
      </w:pPr>
      <w:r>
        <w:rPr>
          <w:rStyle w:val="FootnoteReference"/>
        </w:rPr>
        <w:t>[1]</w:t>
      </w:r>
      <w:r>
        <w:t xml:space="preserve"> Those stakeholders who did not provide a quantitative rating have been included in the denominator as some did go on to provide qualitative responses. </w:t>
      </w:r>
    </w:p>
  </w:footnote>
  <w:footnote w:id="10">
    <w:p w:rsidR="003B77BD" w:rsidRDefault="003B77BD" w:rsidP="00FE7970">
      <w:pPr>
        <w:pStyle w:val="FootnoteText"/>
        <w:rPr>
          <w:szCs w:val="18"/>
        </w:rPr>
      </w:pPr>
      <w:r>
        <w:rPr>
          <w:rStyle w:val="FootnoteReference"/>
        </w:rPr>
        <w:t>[1]</w:t>
      </w:r>
      <w:r>
        <w:t xml:space="preserve"> Those stakeholders who did not provide a quantitative rating have been included in the denominator as some did go on to provide qualitative responses. </w:t>
      </w:r>
    </w:p>
  </w:footnote>
  <w:footnote w:id="11">
    <w:p w:rsidR="003B77BD" w:rsidRDefault="003B77BD" w:rsidP="00FE7970">
      <w:pPr>
        <w:pStyle w:val="FootnoteText"/>
        <w:rPr>
          <w:szCs w:val="18"/>
        </w:rPr>
      </w:pPr>
      <w:r>
        <w:rPr>
          <w:rStyle w:val="FootnoteReference"/>
        </w:rPr>
        <w:t>[1]</w:t>
      </w:r>
      <w:r>
        <w:t xml:space="preserve"> Those stakeholders who did not provide a quantitative rating have been included in the denominator as some did go on to provide qualitative responses. </w:t>
      </w:r>
    </w:p>
  </w:footnote>
  <w:footnote w:id="12">
    <w:p w:rsidR="003B77BD" w:rsidRDefault="003B77BD" w:rsidP="00FE7970">
      <w:pPr>
        <w:pStyle w:val="FootnoteText"/>
        <w:rPr>
          <w:szCs w:val="18"/>
        </w:rPr>
      </w:pPr>
      <w:r>
        <w:rPr>
          <w:rStyle w:val="FootnoteReference"/>
        </w:rPr>
        <w:t>[1]</w:t>
      </w:r>
      <w:r>
        <w:t xml:space="preserve"> Those stakeholders who did not provide a quantitative rating have been included in the denominator as some did go on to provide qualitative responses. </w:t>
      </w:r>
    </w:p>
  </w:footnote>
  <w:footnote w:id="13">
    <w:p w:rsidR="003B77BD" w:rsidRDefault="003B77BD" w:rsidP="00FE7970">
      <w:pPr>
        <w:pStyle w:val="FootnoteText"/>
        <w:rPr>
          <w:szCs w:val="18"/>
        </w:rPr>
      </w:pPr>
      <w:r>
        <w:rPr>
          <w:rStyle w:val="FootnoteReference"/>
        </w:rPr>
        <w:t>[1]</w:t>
      </w:r>
      <w:r>
        <w:t xml:space="preserve"> Those stakeholders who did not provide a quantitative rating have been included in the denominator as some did go on to provide qualitative responses.</w:t>
      </w:r>
    </w:p>
  </w:footnote>
  <w:footnote w:id="14">
    <w:p w:rsidR="003B77BD" w:rsidRDefault="003B77BD" w:rsidP="000D6B1F">
      <w:pPr>
        <w:pStyle w:val="FootnoteText"/>
        <w:rPr>
          <w:szCs w:val="18"/>
        </w:rPr>
      </w:pPr>
      <w:r>
        <w:rPr>
          <w:rStyle w:val="FootnoteReference"/>
        </w:rPr>
        <w:t>[1]</w:t>
      </w:r>
      <w:r>
        <w:t xml:space="preserve"> Those stakeholders who did not provide a quantitative rating have been included in the denominator as some did go on to provide qualitative responses.</w:t>
      </w:r>
    </w:p>
  </w:footnote>
  <w:footnote w:id="15">
    <w:p w:rsidR="003B77BD" w:rsidRDefault="003B77BD" w:rsidP="000D6B1F">
      <w:pPr>
        <w:pStyle w:val="FootnoteText"/>
        <w:rPr>
          <w:szCs w:val="18"/>
        </w:rPr>
      </w:pPr>
      <w:r>
        <w:rPr>
          <w:rStyle w:val="FootnoteReference"/>
        </w:rPr>
        <w:t>[1]</w:t>
      </w:r>
      <w:r>
        <w:t xml:space="preserve"> Those stakeholders who did not provide a quantitative rating have been included in the denominator as some did go on to provide qualitative responses.</w:t>
      </w:r>
    </w:p>
  </w:footnote>
  <w:footnote w:id="16">
    <w:p w:rsidR="003B77BD" w:rsidRDefault="003B77BD">
      <w:pPr>
        <w:pStyle w:val="FootnoteText"/>
      </w:pPr>
      <w:r>
        <w:rPr>
          <w:rStyle w:val="FootnoteReference"/>
        </w:rPr>
        <w:footnoteRef/>
      </w:r>
      <w:r>
        <w:t xml:space="preserve"> Those stakeholders who did not provide a quantitative rating have been included in the denominator as some did go on to provide qualitative responses.</w:t>
      </w:r>
    </w:p>
  </w:footnote>
  <w:footnote w:id="17">
    <w:p w:rsidR="003B77BD" w:rsidRDefault="003B77BD" w:rsidP="00C4546F">
      <w:pPr>
        <w:pStyle w:val="FootnoteText"/>
        <w:rPr>
          <w:szCs w:val="18"/>
        </w:rPr>
      </w:pPr>
      <w:r>
        <w:rPr>
          <w:rStyle w:val="FootnoteReference"/>
        </w:rPr>
        <w:t>[1]</w:t>
      </w:r>
      <w:r>
        <w:t xml:space="preserve"> Those stakeholders who did not provide a quantitative rating have been included in the denominator as some did go on to provide qualitative responses.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F5E" w:rsidRDefault="00323F5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Default="003B77B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Default="003B77BD">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Default="003B77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F5E" w:rsidRDefault="00323F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F5E" w:rsidRDefault="00323F5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Default="003B77B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Default="003B77B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Default="003B77B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Default="003B77B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Default="003B77B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BD" w:rsidRDefault="003B77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D20CB7F6"/>
    <w:lvl w:ilvl="0">
      <w:start w:val="1"/>
      <w:numFmt w:val="decimal"/>
      <w:pStyle w:val="NcondensedChar"/>
      <w:lvlText w:val="%1."/>
      <w:lvlJc w:val="left"/>
      <w:pPr>
        <w:tabs>
          <w:tab w:val="num" w:pos="643"/>
        </w:tabs>
        <w:ind w:left="643" w:hanging="360"/>
      </w:pPr>
    </w:lvl>
  </w:abstractNum>
  <w:abstractNum w:abstractNumId="1">
    <w:nsid w:val="FFFFFF80"/>
    <w:multiLevelType w:val="singleLevel"/>
    <w:tmpl w:val="04B87A5A"/>
    <w:lvl w:ilvl="0">
      <w:start w:val="1"/>
      <w:numFmt w:val="bullet"/>
      <w:pStyle w:val="NoteHeading"/>
      <w:lvlText w:val=""/>
      <w:lvlJc w:val="left"/>
      <w:pPr>
        <w:tabs>
          <w:tab w:val="num" w:pos="1492"/>
        </w:tabs>
        <w:ind w:left="1492" w:hanging="360"/>
      </w:pPr>
      <w:rPr>
        <w:rFonts w:ascii="Symbol" w:hAnsi="Symbol" w:hint="default"/>
      </w:rPr>
    </w:lvl>
  </w:abstractNum>
  <w:abstractNum w:abstractNumId="2">
    <w:nsid w:val="FFFFFF82"/>
    <w:multiLevelType w:val="singleLevel"/>
    <w:tmpl w:val="C7AC9DB8"/>
    <w:lvl w:ilvl="0">
      <w:start w:val="1"/>
      <w:numFmt w:val="bullet"/>
      <w:pStyle w:val="MessageHeader"/>
      <w:lvlText w:val=""/>
      <w:lvlJc w:val="left"/>
      <w:pPr>
        <w:tabs>
          <w:tab w:val="num" w:pos="926"/>
        </w:tabs>
        <w:ind w:left="926" w:hanging="360"/>
      </w:pPr>
      <w:rPr>
        <w:rFonts w:ascii="Symbol" w:hAnsi="Symbol" w:hint="default"/>
      </w:rPr>
    </w:lvl>
  </w:abstractNum>
  <w:abstractNum w:abstractNumId="3">
    <w:nsid w:val="05A52D9B"/>
    <w:multiLevelType w:val="hybridMultilevel"/>
    <w:tmpl w:val="8320EEEE"/>
    <w:lvl w:ilvl="0" w:tplc="0C090001">
      <w:start w:val="1"/>
      <w:numFmt w:val="bullet"/>
      <w:lvlText w:val=""/>
      <w:lvlJc w:val="left"/>
      <w:pPr>
        <w:ind w:left="360" w:hanging="360"/>
      </w:pPr>
      <w:rPr>
        <w:rFonts w:ascii="Symbol" w:hAnsi="Symbol" w:hint="default"/>
      </w:rPr>
    </w:lvl>
    <w:lvl w:ilvl="1" w:tplc="C010D61C">
      <w:numFmt w:val="bullet"/>
      <w:lvlText w:val="•"/>
      <w:lvlJc w:val="left"/>
      <w:pPr>
        <w:ind w:left="1080" w:hanging="360"/>
      </w:pPr>
      <w:rPr>
        <w:rFonts w:ascii="Arial" w:eastAsia="Times New Roman" w:hAnsi="Arial"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0A4652A3"/>
    <w:multiLevelType w:val="hybridMultilevel"/>
    <w:tmpl w:val="F774DE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B584EE4"/>
    <w:multiLevelType w:val="multilevel"/>
    <w:tmpl w:val="8B10880C"/>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nsid w:val="1A891F47"/>
    <w:multiLevelType w:val="hybridMultilevel"/>
    <w:tmpl w:val="0898F9BE"/>
    <w:lvl w:ilvl="0" w:tplc="612645AA">
      <w:start w:val="1"/>
      <w:numFmt w:val="bullet"/>
      <w:pStyle w:val="Bullet"/>
      <w:lvlText w:val=""/>
      <w:lvlJc w:val="left"/>
      <w:pPr>
        <w:ind w:left="360" w:hanging="360"/>
      </w:pPr>
      <w:rPr>
        <w:rFonts w:ascii="Symbol" w:hAnsi="Symbol" w:hint="default"/>
      </w:rPr>
    </w:lvl>
    <w:lvl w:ilvl="1" w:tplc="0C090003">
      <w:start w:val="1"/>
      <w:numFmt w:val="bullet"/>
      <w:lvlText w:val="o"/>
      <w:lvlJc w:val="left"/>
      <w:pPr>
        <w:ind w:left="590" w:hanging="360"/>
      </w:pPr>
      <w:rPr>
        <w:rFonts w:ascii="Courier New" w:hAnsi="Courier New" w:cs="Courier New" w:hint="default"/>
      </w:rPr>
    </w:lvl>
    <w:lvl w:ilvl="2" w:tplc="0C090005">
      <w:start w:val="1"/>
      <w:numFmt w:val="bullet"/>
      <w:lvlText w:val=""/>
      <w:lvlJc w:val="left"/>
      <w:pPr>
        <w:ind w:left="1310" w:hanging="360"/>
      </w:pPr>
      <w:rPr>
        <w:rFonts w:ascii="Wingdings" w:hAnsi="Wingdings" w:hint="default"/>
      </w:rPr>
    </w:lvl>
    <w:lvl w:ilvl="3" w:tplc="0C090001" w:tentative="1">
      <w:start w:val="1"/>
      <w:numFmt w:val="bullet"/>
      <w:lvlText w:val=""/>
      <w:lvlJc w:val="left"/>
      <w:pPr>
        <w:ind w:left="2030" w:hanging="360"/>
      </w:pPr>
      <w:rPr>
        <w:rFonts w:ascii="Symbol" w:hAnsi="Symbol" w:hint="default"/>
      </w:rPr>
    </w:lvl>
    <w:lvl w:ilvl="4" w:tplc="0C090003" w:tentative="1">
      <w:start w:val="1"/>
      <w:numFmt w:val="bullet"/>
      <w:lvlText w:val="o"/>
      <w:lvlJc w:val="left"/>
      <w:pPr>
        <w:ind w:left="2750" w:hanging="360"/>
      </w:pPr>
      <w:rPr>
        <w:rFonts w:ascii="Courier New" w:hAnsi="Courier New" w:cs="Courier New" w:hint="default"/>
      </w:rPr>
    </w:lvl>
    <w:lvl w:ilvl="5" w:tplc="0C090005" w:tentative="1">
      <w:start w:val="1"/>
      <w:numFmt w:val="bullet"/>
      <w:lvlText w:val=""/>
      <w:lvlJc w:val="left"/>
      <w:pPr>
        <w:ind w:left="3470" w:hanging="360"/>
      </w:pPr>
      <w:rPr>
        <w:rFonts w:ascii="Wingdings" w:hAnsi="Wingdings" w:hint="default"/>
      </w:rPr>
    </w:lvl>
    <w:lvl w:ilvl="6" w:tplc="0C090001" w:tentative="1">
      <w:start w:val="1"/>
      <w:numFmt w:val="bullet"/>
      <w:lvlText w:val=""/>
      <w:lvlJc w:val="left"/>
      <w:pPr>
        <w:ind w:left="4190" w:hanging="360"/>
      </w:pPr>
      <w:rPr>
        <w:rFonts w:ascii="Symbol" w:hAnsi="Symbol" w:hint="default"/>
      </w:rPr>
    </w:lvl>
    <w:lvl w:ilvl="7" w:tplc="0C090003" w:tentative="1">
      <w:start w:val="1"/>
      <w:numFmt w:val="bullet"/>
      <w:lvlText w:val="o"/>
      <w:lvlJc w:val="left"/>
      <w:pPr>
        <w:ind w:left="4910" w:hanging="360"/>
      </w:pPr>
      <w:rPr>
        <w:rFonts w:ascii="Courier New" w:hAnsi="Courier New" w:cs="Courier New" w:hint="default"/>
      </w:rPr>
    </w:lvl>
    <w:lvl w:ilvl="8" w:tplc="0C090005" w:tentative="1">
      <w:start w:val="1"/>
      <w:numFmt w:val="bullet"/>
      <w:lvlText w:val=""/>
      <w:lvlJc w:val="left"/>
      <w:pPr>
        <w:ind w:left="5630" w:hanging="360"/>
      </w:pPr>
      <w:rPr>
        <w:rFonts w:ascii="Wingdings" w:hAnsi="Wingdings" w:hint="default"/>
      </w:rPr>
    </w:lvl>
  </w:abstractNum>
  <w:abstractNum w:abstractNumId="7">
    <w:nsid w:val="1C941E98"/>
    <w:multiLevelType w:val="hybridMultilevel"/>
    <w:tmpl w:val="CA88791C"/>
    <w:lvl w:ilvl="0" w:tplc="0C090001">
      <w:start w:val="1"/>
      <w:numFmt w:val="bullet"/>
      <w:lvlText w:val=""/>
      <w:lvlJc w:val="left"/>
      <w:pPr>
        <w:ind w:left="720" w:hanging="72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1D044EC4"/>
    <w:multiLevelType w:val="hybridMultilevel"/>
    <w:tmpl w:val="28D82DA2"/>
    <w:lvl w:ilvl="0" w:tplc="11B23B80">
      <w:start w:val="1"/>
      <w:numFmt w:val="decimal"/>
      <w:pStyle w:val="BulletPoints"/>
      <w:lvlText w:val="%1."/>
      <w:lvlJc w:val="left"/>
      <w:pPr>
        <w:ind w:left="360" w:hanging="360"/>
      </w:pPr>
      <w:rPr>
        <w:rFonts w:ascii="Arial" w:eastAsia="Times New Roman" w:hAnsi="Arial" w:cs="Arial"/>
        <w:sz w:val="18"/>
      </w:rPr>
    </w:lvl>
    <w:lvl w:ilvl="1" w:tplc="D33C6388">
      <w:start w:val="1"/>
      <w:numFmt w:val="bullet"/>
      <w:lvlText w:val="-"/>
      <w:lvlJc w:val="left"/>
      <w:pPr>
        <w:ind w:left="1080" w:hanging="360"/>
      </w:pPr>
      <w:rPr>
        <w:rFonts w:ascii="Times New Roman" w:hAnsi="Times New Roman" w:cs="Times New Roman" w:hint="default"/>
        <w:sz w:val="18"/>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1D602C06"/>
    <w:multiLevelType w:val="multilevel"/>
    <w:tmpl w:val="D780C50A"/>
    <w:lvl w:ilvl="0">
      <w:start w:val="1"/>
      <w:numFmt w:val="decimal"/>
      <w:pStyle w:val="PFNumLevel2"/>
      <w:lvlText w:val="B%1"/>
      <w:lvlJc w:val="left"/>
      <w:pPr>
        <w:tabs>
          <w:tab w:val="num" w:pos="1029"/>
        </w:tabs>
        <w:ind w:left="1029" w:hanging="924"/>
      </w:pPr>
      <w:rPr>
        <w:rFonts w:hint="default"/>
      </w:rPr>
    </w:lvl>
    <w:lvl w:ilvl="1">
      <w:start w:val="1"/>
      <w:numFmt w:val="decimal"/>
      <w:pStyle w:val="PFNumLevel2"/>
      <w:lvlText w:val="A%1.%2"/>
      <w:lvlJc w:val="left"/>
      <w:pPr>
        <w:tabs>
          <w:tab w:val="num" w:pos="924"/>
        </w:tabs>
        <w:ind w:left="924" w:hanging="924"/>
      </w:pPr>
      <w:rPr>
        <w:rFonts w:hint="default"/>
        <w:b w:val="0"/>
      </w:rPr>
    </w:lvl>
    <w:lvl w:ilvl="2">
      <w:start w:val="1"/>
      <w:numFmt w:val="decimal"/>
      <w:pStyle w:val="PFNumLevel3"/>
      <w:lvlText w:val="%1.%2.%3"/>
      <w:lvlJc w:val="left"/>
      <w:pPr>
        <w:tabs>
          <w:tab w:val="num" w:pos="1848"/>
        </w:tabs>
        <w:ind w:left="1848" w:hanging="924"/>
      </w:pPr>
      <w:rPr>
        <w:rFonts w:hint="default"/>
      </w:rPr>
    </w:lvl>
    <w:lvl w:ilvl="3">
      <w:start w:val="1"/>
      <w:numFmt w:val="lowerLetter"/>
      <w:pStyle w:val="PFNumLevel4"/>
      <w:lvlText w:val="(%4)"/>
      <w:lvlJc w:val="left"/>
      <w:pPr>
        <w:tabs>
          <w:tab w:val="num" w:pos="2773"/>
        </w:tabs>
        <w:ind w:left="2773" w:hanging="925"/>
      </w:pPr>
      <w:rPr>
        <w:rFonts w:hint="default"/>
      </w:rPr>
    </w:lvl>
    <w:lvl w:ilvl="4">
      <w:start w:val="1"/>
      <w:numFmt w:val="lowerLetter"/>
      <w:pStyle w:val="PFNumLevel5"/>
      <w:lvlText w:val="(%5)"/>
      <w:lvlJc w:val="left"/>
      <w:pPr>
        <w:tabs>
          <w:tab w:val="num" w:pos="1848"/>
        </w:tabs>
        <w:ind w:left="1848" w:hanging="924"/>
      </w:pPr>
      <w:rPr>
        <w:rFonts w:hint="default"/>
      </w:rPr>
    </w:lvl>
    <w:lvl w:ilvl="5">
      <w:start w:val="1"/>
      <w:numFmt w:val="lowerRoman"/>
      <w:lvlRestart w:val="4"/>
      <w:pStyle w:val="PFNumLevel3"/>
      <w:lvlText w:val="(%6)"/>
      <w:lvlJc w:val="left"/>
      <w:pPr>
        <w:tabs>
          <w:tab w:val="num" w:pos="3697"/>
        </w:tabs>
        <w:ind w:left="3697" w:hanging="924"/>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10">
    <w:nsid w:val="204B208B"/>
    <w:multiLevelType w:val="multilevel"/>
    <w:tmpl w:val="FD7661D0"/>
    <w:lvl w:ilvl="0">
      <w:start w:val="1"/>
      <w:numFmt w:val="decimal"/>
      <w:pStyle w:val="NumberedPoints"/>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1B594D"/>
    <w:multiLevelType w:val="hybridMultilevel"/>
    <w:tmpl w:val="725A42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2FFA55FE"/>
    <w:multiLevelType w:val="multilevel"/>
    <w:tmpl w:val="67464148"/>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nsid w:val="36853EB7"/>
    <w:multiLevelType w:val="hybridMultilevel"/>
    <w:tmpl w:val="88F824E4"/>
    <w:lvl w:ilvl="0" w:tplc="AF9CA528">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FD316DC"/>
    <w:multiLevelType w:val="hybridMultilevel"/>
    <w:tmpl w:val="66900894"/>
    <w:lvl w:ilvl="0" w:tplc="C042359A">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8CC56D5"/>
    <w:multiLevelType w:val="hybridMultilevel"/>
    <w:tmpl w:val="F7B0C334"/>
    <w:lvl w:ilvl="0" w:tplc="78A48D28">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6F21B24"/>
    <w:multiLevelType w:val="hybridMultilevel"/>
    <w:tmpl w:val="C05064C8"/>
    <w:lvl w:ilvl="0" w:tplc="D33C6388">
      <w:start w:val="1"/>
      <w:numFmt w:val="bullet"/>
      <w:lvlText w:val="-"/>
      <w:lvlJc w:val="left"/>
      <w:pPr>
        <w:ind w:left="720" w:hanging="360"/>
      </w:pPr>
      <w:rPr>
        <w:rFonts w:ascii="Times New Roman" w:hAnsi="Times New Roman" w:cs="Times New Roman"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8C516A5"/>
    <w:multiLevelType w:val="hybridMultilevel"/>
    <w:tmpl w:val="570A82F4"/>
    <w:lvl w:ilvl="0" w:tplc="D33C6388">
      <w:start w:val="1"/>
      <w:numFmt w:val="bullet"/>
      <w:lvlText w:val="-"/>
      <w:lvlJc w:val="left"/>
      <w:pPr>
        <w:ind w:left="360" w:hanging="360"/>
      </w:pPr>
      <w:rPr>
        <w:rFonts w:ascii="Times New Roman" w:hAnsi="Times New Roman" w:cs="Times New Roman" w:hint="default"/>
        <w:sz w:val="18"/>
      </w:rPr>
    </w:lvl>
    <w:lvl w:ilvl="1" w:tplc="4A900CA4">
      <w:start w:val="1"/>
      <w:numFmt w:val="bullet"/>
      <w:pStyle w:val="Bullet2ndLevel"/>
      <w:lvlText w:val="-"/>
      <w:lvlJc w:val="left"/>
      <w:pPr>
        <w:ind w:left="1080" w:hanging="360"/>
      </w:pPr>
      <w:rPr>
        <w:rFonts w:ascii="Times New Roman" w:hAnsi="Times New Roman" w:cs="Times New Roman" w:hint="default"/>
        <w:sz w:val="18"/>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698D11BB"/>
    <w:multiLevelType w:val="hybridMultilevel"/>
    <w:tmpl w:val="F2BEEA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9">
    <w:nsid w:val="731D5DB2"/>
    <w:multiLevelType w:val="hybridMultilevel"/>
    <w:tmpl w:val="E1C4A70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736E1D95"/>
    <w:multiLevelType w:val="hybridMultilevel"/>
    <w:tmpl w:val="1A687C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76E33704"/>
    <w:multiLevelType w:val="hybridMultilevel"/>
    <w:tmpl w:val="BC243CD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17"/>
  </w:num>
  <w:num w:numId="3">
    <w:abstractNumId w:val="10"/>
  </w:num>
  <w:num w:numId="4">
    <w:abstractNumId w:val="6"/>
  </w:num>
  <w:num w:numId="5">
    <w:abstractNumId w:val="2"/>
  </w:num>
  <w:num w:numId="6">
    <w:abstractNumId w:val="1"/>
  </w:num>
  <w:num w:numId="7">
    <w:abstractNumId w:val="0"/>
  </w:num>
  <w:num w:numId="8">
    <w:abstractNumId w:val="9"/>
  </w:num>
  <w:num w:numId="9">
    <w:abstractNumId w:val="11"/>
  </w:num>
  <w:num w:numId="10">
    <w:abstractNumId w:val="20"/>
  </w:num>
  <w:num w:numId="11">
    <w:abstractNumId w:val="5"/>
  </w:num>
  <w:num w:numId="12">
    <w:abstractNumId w:val="16"/>
  </w:num>
  <w:num w:numId="13">
    <w:abstractNumId w:val="12"/>
  </w:num>
  <w:num w:numId="14">
    <w:abstractNumId w:val="15"/>
  </w:num>
  <w:num w:numId="15">
    <w:abstractNumId w:val="4"/>
  </w:num>
  <w:num w:numId="16">
    <w:abstractNumId w:val="3"/>
  </w:num>
  <w:num w:numId="17">
    <w:abstractNumId w:val="7"/>
  </w:num>
  <w:num w:numId="18">
    <w:abstractNumId w:val="19"/>
  </w:num>
  <w:num w:numId="19">
    <w:abstractNumId w:val="21"/>
  </w:num>
  <w:num w:numId="20">
    <w:abstractNumId w:val="18"/>
  </w:num>
  <w:num w:numId="21">
    <w:abstractNumId w:val="13"/>
  </w:num>
  <w:num w:numId="2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drawingGridHorizontalSpacing w:val="12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E1A"/>
    <w:rsid w:val="00000266"/>
    <w:rsid w:val="0000050C"/>
    <w:rsid w:val="00000B36"/>
    <w:rsid w:val="0000126D"/>
    <w:rsid w:val="00001530"/>
    <w:rsid w:val="00001A53"/>
    <w:rsid w:val="00001CC9"/>
    <w:rsid w:val="00002056"/>
    <w:rsid w:val="00002611"/>
    <w:rsid w:val="0000290D"/>
    <w:rsid w:val="0000340D"/>
    <w:rsid w:val="000036AC"/>
    <w:rsid w:val="00003879"/>
    <w:rsid w:val="00003C7B"/>
    <w:rsid w:val="0000445F"/>
    <w:rsid w:val="000052B5"/>
    <w:rsid w:val="000060EE"/>
    <w:rsid w:val="00006456"/>
    <w:rsid w:val="00006937"/>
    <w:rsid w:val="00006C3F"/>
    <w:rsid w:val="00006ED5"/>
    <w:rsid w:val="00006F0C"/>
    <w:rsid w:val="000072AF"/>
    <w:rsid w:val="00007B61"/>
    <w:rsid w:val="00007C44"/>
    <w:rsid w:val="00007E47"/>
    <w:rsid w:val="00010288"/>
    <w:rsid w:val="00010846"/>
    <w:rsid w:val="00010C45"/>
    <w:rsid w:val="00010C9B"/>
    <w:rsid w:val="00010E64"/>
    <w:rsid w:val="00011178"/>
    <w:rsid w:val="0001147C"/>
    <w:rsid w:val="00011DAB"/>
    <w:rsid w:val="000120E8"/>
    <w:rsid w:val="000120EE"/>
    <w:rsid w:val="00012CB3"/>
    <w:rsid w:val="000134FF"/>
    <w:rsid w:val="00013902"/>
    <w:rsid w:val="00013D9F"/>
    <w:rsid w:val="00014522"/>
    <w:rsid w:val="00014943"/>
    <w:rsid w:val="00014E81"/>
    <w:rsid w:val="0001516E"/>
    <w:rsid w:val="00015440"/>
    <w:rsid w:val="00015FCD"/>
    <w:rsid w:val="000161B2"/>
    <w:rsid w:val="0001663C"/>
    <w:rsid w:val="0001714E"/>
    <w:rsid w:val="00017853"/>
    <w:rsid w:val="0001794E"/>
    <w:rsid w:val="00017D40"/>
    <w:rsid w:val="000203E3"/>
    <w:rsid w:val="00020F7B"/>
    <w:rsid w:val="00021838"/>
    <w:rsid w:val="00023011"/>
    <w:rsid w:val="00023A31"/>
    <w:rsid w:val="00024109"/>
    <w:rsid w:val="000245C6"/>
    <w:rsid w:val="00024947"/>
    <w:rsid w:val="00025182"/>
    <w:rsid w:val="000254B5"/>
    <w:rsid w:val="00025D2A"/>
    <w:rsid w:val="00025F99"/>
    <w:rsid w:val="00026333"/>
    <w:rsid w:val="00027138"/>
    <w:rsid w:val="00027625"/>
    <w:rsid w:val="00027840"/>
    <w:rsid w:val="00027F8A"/>
    <w:rsid w:val="00027FC7"/>
    <w:rsid w:val="00030B08"/>
    <w:rsid w:val="0003123B"/>
    <w:rsid w:val="0003154A"/>
    <w:rsid w:val="00031700"/>
    <w:rsid w:val="000317B5"/>
    <w:rsid w:val="00031A08"/>
    <w:rsid w:val="00031C90"/>
    <w:rsid w:val="00031D1D"/>
    <w:rsid w:val="000326B0"/>
    <w:rsid w:val="000326F5"/>
    <w:rsid w:val="00032E24"/>
    <w:rsid w:val="000332E3"/>
    <w:rsid w:val="000337BD"/>
    <w:rsid w:val="00033E71"/>
    <w:rsid w:val="000342FE"/>
    <w:rsid w:val="00034743"/>
    <w:rsid w:val="0003491B"/>
    <w:rsid w:val="000349E4"/>
    <w:rsid w:val="00034BB1"/>
    <w:rsid w:val="00034D8E"/>
    <w:rsid w:val="00035006"/>
    <w:rsid w:val="00035041"/>
    <w:rsid w:val="000366CC"/>
    <w:rsid w:val="00036A3A"/>
    <w:rsid w:val="0003707F"/>
    <w:rsid w:val="00037358"/>
    <w:rsid w:val="00037721"/>
    <w:rsid w:val="000379AB"/>
    <w:rsid w:val="00037E49"/>
    <w:rsid w:val="00040406"/>
    <w:rsid w:val="00040EC5"/>
    <w:rsid w:val="000412AB"/>
    <w:rsid w:val="0004139C"/>
    <w:rsid w:val="00041D4B"/>
    <w:rsid w:val="000421C0"/>
    <w:rsid w:val="00042398"/>
    <w:rsid w:val="0004242E"/>
    <w:rsid w:val="0004246D"/>
    <w:rsid w:val="00042B04"/>
    <w:rsid w:val="000430A3"/>
    <w:rsid w:val="00043741"/>
    <w:rsid w:val="00043B7C"/>
    <w:rsid w:val="00043FFC"/>
    <w:rsid w:val="00044CBF"/>
    <w:rsid w:val="00045EBD"/>
    <w:rsid w:val="00046120"/>
    <w:rsid w:val="00046235"/>
    <w:rsid w:val="000463AB"/>
    <w:rsid w:val="000463B3"/>
    <w:rsid w:val="00046550"/>
    <w:rsid w:val="000466F3"/>
    <w:rsid w:val="00047DE8"/>
    <w:rsid w:val="00050E6B"/>
    <w:rsid w:val="0005135D"/>
    <w:rsid w:val="000514AF"/>
    <w:rsid w:val="00051596"/>
    <w:rsid w:val="0005239A"/>
    <w:rsid w:val="00052CB7"/>
    <w:rsid w:val="00053023"/>
    <w:rsid w:val="00053898"/>
    <w:rsid w:val="00054643"/>
    <w:rsid w:val="000546E7"/>
    <w:rsid w:val="0005492E"/>
    <w:rsid w:val="00054A51"/>
    <w:rsid w:val="00054C07"/>
    <w:rsid w:val="000550E5"/>
    <w:rsid w:val="000551CE"/>
    <w:rsid w:val="0005582C"/>
    <w:rsid w:val="00055BCF"/>
    <w:rsid w:val="00055C96"/>
    <w:rsid w:val="000560D2"/>
    <w:rsid w:val="0005632A"/>
    <w:rsid w:val="00056C68"/>
    <w:rsid w:val="000578C8"/>
    <w:rsid w:val="00057BE9"/>
    <w:rsid w:val="0006033A"/>
    <w:rsid w:val="00060AC1"/>
    <w:rsid w:val="000618F9"/>
    <w:rsid w:val="00061D85"/>
    <w:rsid w:val="00061ED0"/>
    <w:rsid w:val="00062392"/>
    <w:rsid w:val="00062C81"/>
    <w:rsid w:val="00063669"/>
    <w:rsid w:val="00063755"/>
    <w:rsid w:val="00063A9D"/>
    <w:rsid w:val="00063FAD"/>
    <w:rsid w:val="000646AF"/>
    <w:rsid w:val="000650DC"/>
    <w:rsid w:val="00065704"/>
    <w:rsid w:val="000657B7"/>
    <w:rsid w:val="00065956"/>
    <w:rsid w:val="00066400"/>
    <w:rsid w:val="0006695E"/>
    <w:rsid w:val="00066981"/>
    <w:rsid w:val="0006708C"/>
    <w:rsid w:val="0006760C"/>
    <w:rsid w:val="00070B94"/>
    <w:rsid w:val="00070DAF"/>
    <w:rsid w:val="000714BA"/>
    <w:rsid w:val="000716FC"/>
    <w:rsid w:val="00071B6F"/>
    <w:rsid w:val="00072206"/>
    <w:rsid w:val="00072390"/>
    <w:rsid w:val="0007295B"/>
    <w:rsid w:val="00074290"/>
    <w:rsid w:val="00074FC8"/>
    <w:rsid w:val="00075AD7"/>
    <w:rsid w:val="000760DF"/>
    <w:rsid w:val="00076BF3"/>
    <w:rsid w:val="00076E11"/>
    <w:rsid w:val="00076ED1"/>
    <w:rsid w:val="0007764F"/>
    <w:rsid w:val="000778B4"/>
    <w:rsid w:val="00077E99"/>
    <w:rsid w:val="0008008F"/>
    <w:rsid w:val="000800CC"/>
    <w:rsid w:val="000804F7"/>
    <w:rsid w:val="00080FD2"/>
    <w:rsid w:val="00081444"/>
    <w:rsid w:val="0008191B"/>
    <w:rsid w:val="000819E1"/>
    <w:rsid w:val="00082BAE"/>
    <w:rsid w:val="00083B02"/>
    <w:rsid w:val="00084983"/>
    <w:rsid w:val="00085CCC"/>
    <w:rsid w:val="00085E9E"/>
    <w:rsid w:val="000866F8"/>
    <w:rsid w:val="00086C5D"/>
    <w:rsid w:val="00086E06"/>
    <w:rsid w:val="00087692"/>
    <w:rsid w:val="000879D5"/>
    <w:rsid w:val="00087D92"/>
    <w:rsid w:val="00090126"/>
    <w:rsid w:val="00090431"/>
    <w:rsid w:val="00090507"/>
    <w:rsid w:val="00090ABB"/>
    <w:rsid w:val="000918B6"/>
    <w:rsid w:val="00091C11"/>
    <w:rsid w:val="00091D2B"/>
    <w:rsid w:val="00091FFC"/>
    <w:rsid w:val="00092104"/>
    <w:rsid w:val="00093293"/>
    <w:rsid w:val="0009372F"/>
    <w:rsid w:val="00093BA8"/>
    <w:rsid w:val="00093DBC"/>
    <w:rsid w:val="00093DEB"/>
    <w:rsid w:val="0009433E"/>
    <w:rsid w:val="000945E8"/>
    <w:rsid w:val="00094A50"/>
    <w:rsid w:val="000951D5"/>
    <w:rsid w:val="0009599B"/>
    <w:rsid w:val="0009667C"/>
    <w:rsid w:val="0009681B"/>
    <w:rsid w:val="00097279"/>
    <w:rsid w:val="0009729E"/>
    <w:rsid w:val="00097C8C"/>
    <w:rsid w:val="00097F5C"/>
    <w:rsid w:val="00097FFA"/>
    <w:rsid w:val="000A0069"/>
    <w:rsid w:val="000A0400"/>
    <w:rsid w:val="000A0677"/>
    <w:rsid w:val="000A1145"/>
    <w:rsid w:val="000A2FC7"/>
    <w:rsid w:val="000A323F"/>
    <w:rsid w:val="000A3701"/>
    <w:rsid w:val="000A49BD"/>
    <w:rsid w:val="000A4BDB"/>
    <w:rsid w:val="000A4C10"/>
    <w:rsid w:val="000A52DD"/>
    <w:rsid w:val="000A546F"/>
    <w:rsid w:val="000A5C23"/>
    <w:rsid w:val="000A6076"/>
    <w:rsid w:val="000A607F"/>
    <w:rsid w:val="000A6CD5"/>
    <w:rsid w:val="000A7B62"/>
    <w:rsid w:val="000A7CB5"/>
    <w:rsid w:val="000A7F2B"/>
    <w:rsid w:val="000B002F"/>
    <w:rsid w:val="000B00F9"/>
    <w:rsid w:val="000B02C3"/>
    <w:rsid w:val="000B07DB"/>
    <w:rsid w:val="000B0D54"/>
    <w:rsid w:val="000B268A"/>
    <w:rsid w:val="000B2978"/>
    <w:rsid w:val="000B2DAD"/>
    <w:rsid w:val="000B3051"/>
    <w:rsid w:val="000B375C"/>
    <w:rsid w:val="000B40EC"/>
    <w:rsid w:val="000B4160"/>
    <w:rsid w:val="000B501F"/>
    <w:rsid w:val="000B5220"/>
    <w:rsid w:val="000B5EF0"/>
    <w:rsid w:val="000B65DF"/>
    <w:rsid w:val="000B6619"/>
    <w:rsid w:val="000B6626"/>
    <w:rsid w:val="000B695A"/>
    <w:rsid w:val="000B6963"/>
    <w:rsid w:val="000B706A"/>
    <w:rsid w:val="000B7A5E"/>
    <w:rsid w:val="000B7AAA"/>
    <w:rsid w:val="000B7C75"/>
    <w:rsid w:val="000B7CD8"/>
    <w:rsid w:val="000B7D37"/>
    <w:rsid w:val="000B7E20"/>
    <w:rsid w:val="000C027E"/>
    <w:rsid w:val="000C0E7A"/>
    <w:rsid w:val="000C0ED5"/>
    <w:rsid w:val="000C1029"/>
    <w:rsid w:val="000C1D35"/>
    <w:rsid w:val="000C261A"/>
    <w:rsid w:val="000C2872"/>
    <w:rsid w:val="000C3599"/>
    <w:rsid w:val="000C4067"/>
    <w:rsid w:val="000C4621"/>
    <w:rsid w:val="000C4C8E"/>
    <w:rsid w:val="000C4E16"/>
    <w:rsid w:val="000C4FC3"/>
    <w:rsid w:val="000C50E2"/>
    <w:rsid w:val="000C52D3"/>
    <w:rsid w:val="000C604E"/>
    <w:rsid w:val="000C62B9"/>
    <w:rsid w:val="000C6F76"/>
    <w:rsid w:val="000C7461"/>
    <w:rsid w:val="000C7540"/>
    <w:rsid w:val="000D065D"/>
    <w:rsid w:val="000D11E5"/>
    <w:rsid w:val="000D1454"/>
    <w:rsid w:val="000D153A"/>
    <w:rsid w:val="000D19CA"/>
    <w:rsid w:val="000D1EDC"/>
    <w:rsid w:val="000D20BB"/>
    <w:rsid w:val="000D21C6"/>
    <w:rsid w:val="000D297E"/>
    <w:rsid w:val="000D3BF6"/>
    <w:rsid w:val="000D3DB7"/>
    <w:rsid w:val="000D48FD"/>
    <w:rsid w:val="000D4A01"/>
    <w:rsid w:val="000D4EC4"/>
    <w:rsid w:val="000D5A3A"/>
    <w:rsid w:val="000D615A"/>
    <w:rsid w:val="000D63B9"/>
    <w:rsid w:val="000D6760"/>
    <w:rsid w:val="000D67E9"/>
    <w:rsid w:val="000D6B1F"/>
    <w:rsid w:val="000D6F1E"/>
    <w:rsid w:val="000D7DC3"/>
    <w:rsid w:val="000E100E"/>
    <w:rsid w:val="000E19CB"/>
    <w:rsid w:val="000E1AB9"/>
    <w:rsid w:val="000E1BB0"/>
    <w:rsid w:val="000E1E75"/>
    <w:rsid w:val="000E207E"/>
    <w:rsid w:val="000E23AA"/>
    <w:rsid w:val="000E262C"/>
    <w:rsid w:val="000E26D9"/>
    <w:rsid w:val="000E3655"/>
    <w:rsid w:val="000E39F3"/>
    <w:rsid w:val="000E3FD2"/>
    <w:rsid w:val="000E41FB"/>
    <w:rsid w:val="000E4BD0"/>
    <w:rsid w:val="000E521D"/>
    <w:rsid w:val="000E5574"/>
    <w:rsid w:val="000E59D9"/>
    <w:rsid w:val="000E5B4D"/>
    <w:rsid w:val="000E5EFA"/>
    <w:rsid w:val="000E62C6"/>
    <w:rsid w:val="000E67F1"/>
    <w:rsid w:val="000E6E22"/>
    <w:rsid w:val="000E71D6"/>
    <w:rsid w:val="000E7362"/>
    <w:rsid w:val="000E778A"/>
    <w:rsid w:val="000E7AB9"/>
    <w:rsid w:val="000F0BF5"/>
    <w:rsid w:val="000F1261"/>
    <w:rsid w:val="000F16E3"/>
    <w:rsid w:val="000F1EC9"/>
    <w:rsid w:val="000F2CD6"/>
    <w:rsid w:val="000F2EA0"/>
    <w:rsid w:val="000F48C6"/>
    <w:rsid w:val="000F51BD"/>
    <w:rsid w:val="000F5288"/>
    <w:rsid w:val="000F5568"/>
    <w:rsid w:val="000F55C8"/>
    <w:rsid w:val="000F5A87"/>
    <w:rsid w:val="000F5D88"/>
    <w:rsid w:val="000F6DC8"/>
    <w:rsid w:val="000F6E47"/>
    <w:rsid w:val="000F6F05"/>
    <w:rsid w:val="000F7290"/>
    <w:rsid w:val="000F7B63"/>
    <w:rsid w:val="000F7E28"/>
    <w:rsid w:val="001002C7"/>
    <w:rsid w:val="00100623"/>
    <w:rsid w:val="00100C48"/>
    <w:rsid w:val="0010200F"/>
    <w:rsid w:val="0010259A"/>
    <w:rsid w:val="00102A53"/>
    <w:rsid w:val="00102EF5"/>
    <w:rsid w:val="00102F41"/>
    <w:rsid w:val="00103698"/>
    <w:rsid w:val="00104207"/>
    <w:rsid w:val="00104342"/>
    <w:rsid w:val="0010458C"/>
    <w:rsid w:val="00104F4B"/>
    <w:rsid w:val="001056CC"/>
    <w:rsid w:val="00105AF6"/>
    <w:rsid w:val="00105D56"/>
    <w:rsid w:val="00105EDE"/>
    <w:rsid w:val="001067DE"/>
    <w:rsid w:val="00107131"/>
    <w:rsid w:val="0010736A"/>
    <w:rsid w:val="00110269"/>
    <w:rsid w:val="00110271"/>
    <w:rsid w:val="00110842"/>
    <w:rsid w:val="00111460"/>
    <w:rsid w:val="0011151A"/>
    <w:rsid w:val="001121FD"/>
    <w:rsid w:val="001129B4"/>
    <w:rsid w:val="00112DF3"/>
    <w:rsid w:val="0011301D"/>
    <w:rsid w:val="001139B6"/>
    <w:rsid w:val="00113EB6"/>
    <w:rsid w:val="00114058"/>
    <w:rsid w:val="00114CDF"/>
    <w:rsid w:val="0011528E"/>
    <w:rsid w:val="00115444"/>
    <w:rsid w:val="00116216"/>
    <w:rsid w:val="00116854"/>
    <w:rsid w:val="00116EB5"/>
    <w:rsid w:val="00116F41"/>
    <w:rsid w:val="001174BB"/>
    <w:rsid w:val="00120135"/>
    <w:rsid w:val="00120C09"/>
    <w:rsid w:val="001212B5"/>
    <w:rsid w:val="0012173B"/>
    <w:rsid w:val="0012199E"/>
    <w:rsid w:val="0012251B"/>
    <w:rsid w:val="00122632"/>
    <w:rsid w:val="0012287D"/>
    <w:rsid w:val="00122F5D"/>
    <w:rsid w:val="00123075"/>
    <w:rsid w:val="001232DE"/>
    <w:rsid w:val="00123489"/>
    <w:rsid w:val="00123E52"/>
    <w:rsid w:val="00124749"/>
    <w:rsid w:val="00124C0F"/>
    <w:rsid w:val="001252CB"/>
    <w:rsid w:val="0012637C"/>
    <w:rsid w:val="0012693C"/>
    <w:rsid w:val="001270BE"/>
    <w:rsid w:val="00127F9C"/>
    <w:rsid w:val="00130BD1"/>
    <w:rsid w:val="00131470"/>
    <w:rsid w:val="00131909"/>
    <w:rsid w:val="0013197D"/>
    <w:rsid w:val="00131CD9"/>
    <w:rsid w:val="00131ED0"/>
    <w:rsid w:val="00131EF8"/>
    <w:rsid w:val="0013216D"/>
    <w:rsid w:val="00132574"/>
    <w:rsid w:val="001325F6"/>
    <w:rsid w:val="00132678"/>
    <w:rsid w:val="001327D8"/>
    <w:rsid w:val="00132CA3"/>
    <w:rsid w:val="001331A3"/>
    <w:rsid w:val="001331F6"/>
    <w:rsid w:val="001332BF"/>
    <w:rsid w:val="001333BA"/>
    <w:rsid w:val="00133EC0"/>
    <w:rsid w:val="00134618"/>
    <w:rsid w:val="00134F61"/>
    <w:rsid w:val="0013543E"/>
    <w:rsid w:val="00135BBE"/>
    <w:rsid w:val="0013610B"/>
    <w:rsid w:val="001362DB"/>
    <w:rsid w:val="00136C2F"/>
    <w:rsid w:val="0013733A"/>
    <w:rsid w:val="001373F5"/>
    <w:rsid w:val="00137417"/>
    <w:rsid w:val="00137581"/>
    <w:rsid w:val="00140913"/>
    <w:rsid w:val="00140968"/>
    <w:rsid w:val="001410E6"/>
    <w:rsid w:val="001420B6"/>
    <w:rsid w:val="0014308B"/>
    <w:rsid w:val="001436E8"/>
    <w:rsid w:val="00143788"/>
    <w:rsid w:val="00143B3C"/>
    <w:rsid w:val="00143FD8"/>
    <w:rsid w:val="00144376"/>
    <w:rsid w:val="00144446"/>
    <w:rsid w:val="00144630"/>
    <w:rsid w:val="00144716"/>
    <w:rsid w:val="001450B5"/>
    <w:rsid w:val="0014526D"/>
    <w:rsid w:val="001455CF"/>
    <w:rsid w:val="0014577F"/>
    <w:rsid w:val="001465F6"/>
    <w:rsid w:val="00147A97"/>
    <w:rsid w:val="00147E4D"/>
    <w:rsid w:val="001502F7"/>
    <w:rsid w:val="001504E8"/>
    <w:rsid w:val="00150649"/>
    <w:rsid w:val="001508F0"/>
    <w:rsid w:val="00151132"/>
    <w:rsid w:val="00152A97"/>
    <w:rsid w:val="00152C90"/>
    <w:rsid w:val="001536C8"/>
    <w:rsid w:val="00153C30"/>
    <w:rsid w:val="00153D0C"/>
    <w:rsid w:val="00153F53"/>
    <w:rsid w:val="00154415"/>
    <w:rsid w:val="00154A30"/>
    <w:rsid w:val="00154D7B"/>
    <w:rsid w:val="00154FA5"/>
    <w:rsid w:val="001550FE"/>
    <w:rsid w:val="00155CE4"/>
    <w:rsid w:val="00156BB0"/>
    <w:rsid w:val="00156C66"/>
    <w:rsid w:val="001570F0"/>
    <w:rsid w:val="0015731B"/>
    <w:rsid w:val="00161082"/>
    <w:rsid w:val="00161111"/>
    <w:rsid w:val="00161269"/>
    <w:rsid w:val="00161E91"/>
    <w:rsid w:val="00162FD6"/>
    <w:rsid w:val="0016330F"/>
    <w:rsid w:val="001645F1"/>
    <w:rsid w:val="00164786"/>
    <w:rsid w:val="00164DB2"/>
    <w:rsid w:val="0016516E"/>
    <w:rsid w:val="00165871"/>
    <w:rsid w:val="00165906"/>
    <w:rsid w:val="00166555"/>
    <w:rsid w:val="0016656E"/>
    <w:rsid w:val="00166620"/>
    <w:rsid w:val="00166AA9"/>
    <w:rsid w:val="00166B4D"/>
    <w:rsid w:val="00166BBC"/>
    <w:rsid w:val="00166FE2"/>
    <w:rsid w:val="00167515"/>
    <w:rsid w:val="0016769A"/>
    <w:rsid w:val="00167702"/>
    <w:rsid w:val="00167908"/>
    <w:rsid w:val="0016794A"/>
    <w:rsid w:val="00167A2E"/>
    <w:rsid w:val="001702AA"/>
    <w:rsid w:val="001703AE"/>
    <w:rsid w:val="001709C4"/>
    <w:rsid w:val="00170F23"/>
    <w:rsid w:val="00170FD5"/>
    <w:rsid w:val="001710F7"/>
    <w:rsid w:val="00171161"/>
    <w:rsid w:val="001713E9"/>
    <w:rsid w:val="00171FA9"/>
    <w:rsid w:val="001720E3"/>
    <w:rsid w:val="00172344"/>
    <w:rsid w:val="00172489"/>
    <w:rsid w:val="0017321D"/>
    <w:rsid w:val="0017359D"/>
    <w:rsid w:val="00174238"/>
    <w:rsid w:val="001742C3"/>
    <w:rsid w:val="00175037"/>
    <w:rsid w:val="00175B2E"/>
    <w:rsid w:val="00175D16"/>
    <w:rsid w:val="0017642F"/>
    <w:rsid w:val="0017656D"/>
    <w:rsid w:val="001767E0"/>
    <w:rsid w:val="00176DD7"/>
    <w:rsid w:val="00176E30"/>
    <w:rsid w:val="00176E33"/>
    <w:rsid w:val="0017722B"/>
    <w:rsid w:val="001776BC"/>
    <w:rsid w:val="00177BB3"/>
    <w:rsid w:val="00177EA1"/>
    <w:rsid w:val="00180073"/>
    <w:rsid w:val="00180194"/>
    <w:rsid w:val="001806AC"/>
    <w:rsid w:val="00180829"/>
    <w:rsid w:val="00180AA2"/>
    <w:rsid w:val="00181C11"/>
    <w:rsid w:val="001823A3"/>
    <w:rsid w:val="00182A33"/>
    <w:rsid w:val="00182DFD"/>
    <w:rsid w:val="00183281"/>
    <w:rsid w:val="00183E98"/>
    <w:rsid w:val="001845A5"/>
    <w:rsid w:val="0018481D"/>
    <w:rsid w:val="00185745"/>
    <w:rsid w:val="0018586D"/>
    <w:rsid w:val="0018594E"/>
    <w:rsid w:val="00185CC1"/>
    <w:rsid w:val="00186497"/>
    <w:rsid w:val="001865C9"/>
    <w:rsid w:val="00186D9F"/>
    <w:rsid w:val="00187418"/>
    <w:rsid w:val="0018748C"/>
    <w:rsid w:val="00187AEC"/>
    <w:rsid w:val="00187CD9"/>
    <w:rsid w:val="00187DB2"/>
    <w:rsid w:val="00187FD8"/>
    <w:rsid w:val="0019057C"/>
    <w:rsid w:val="00190725"/>
    <w:rsid w:val="00190A4B"/>
    <w:rsid w:val="00190DF4"/>
    <w:rsid w:val="001910F5"/>
    <w:rsid w:val="001914AC"/>
    <w:rsid w:val="001916DB"/>
    <w:rsid w:val="0019174E"/>
    <w:rsid w:val="00191A66"/>
    <w:rsid w:val="00192837"/>
    <w:rsid w:val="00192E2B"/>
    <w:rsid w:val="001932AE"/>
    <w:rsid w:val="00194346"/>
    <w:rsid w:val="00194484"/>
    <w:rsid w:val="00196203"/>
    <w:rsid w:val="00197278"/>
    <w:rsid w:val="00197623"/>
    <w:rsid w:val="001976BF"/>
    <w:rsid w:val="00197856"/>
    <w:rsid w:val="001A000E"/>
    <w:rsid w:val="001A0174"/>
    <w:rsid w:val="001A0DAA"/>
    <w:rsid w:val="001A113A"/>
    <w:rsid w:val="001A1D9A"/>
    <w:rsid w:val="001A25E1"/>
    <w:rsid w:val="001A2CB2"/>
    <w:rsid w:val="001A32F6"/>
    <w:rsid w:val="001A3BE9"/>
    <w:rsid w:val="001A3C86"/>
    <w:rsid w:val="001A3DC3"/>
    <w:rsid w:val="001A4554"/>
    <w:rsid w:val="001A4950"/>
    <w:rsid w:val="001A5924"/>
    <w:rsid w:val="001A6640"/>
    <w:rsid w:val="001A711E"/>
    <w:rsid w:val="001A728A"/>
    <w:rsid w:val="001A7F0C"/>
    <w:rsid w:val="001B0940"/>
    <w:rsid w:val="001B0C3F"/>
    <w:rsid w:val="001B0CDD"/>
    <w:rsid w:val="001B10A7"/>
    <w:rsid w:val="001B1389"/>
    <w:rsid w:val="001B139A"/>
    <w:rsid w:val="001B1AEB"/>
    <w:rsid w:val="001B2840"/>
    <w:rsid w:val="001B3EEB"/>
    <w:rsid w:val="001B42C7"/>
    <w:rsid w:val="001B4402"/>
    <w:rsid w:val="001B4D9C"/>
    <w:rsid w:val="001B5681"/>
    <w:rsid w:val="001B5700"/>
    <w:rsid w:val="001B5821"/>
    <w:rsid w:val="001B6346"/>
    <w:rsid w:val="001B6758"/>
    <w:rsid w:val="001B6EBD"/>
    <w:rsid w:val="001B7244"/>
    <w:rsid w:val="001B7556"/>
    <w:rsid w:val="001B7DB0"/>
    <w:rsid w:val="001B7DFB"/>
    <w:rsid w:val="001B7E10"/>
    <w:rsid w:val="001C05C6"/>
    <w:rsid w:val="001C09C4"/>
    <w:rsid w:val="001C0DA7"/>
    <w:rsid w:val="001C16E5"/>
    <w:rsid w:val="001C29E4"/>
    <w:rsid w:val="001C2BA4"/>
    <w:rsid w:val="001C36FD"/>
    <w:rsid w:val="001C3A93"/>
    <w:rsid w:val="001C3D61"/>
    <w:rsid w:val="001C4E9B"/>
    <w:rsid w:val="001C52B4"/>
    <w:rsid w:val="001C537C"/>
    <w:rsid w:val="001C553D"/>
    <w:rsid w:val="001C58C7"/>
    <w:rsid w:val="001C629C"/>
    <w:rsid w:val="001C6333"/>
    <w:rsid w:val="001C6446"/>
    <w:rsid w:val="001C6477"/>
    <w:rsid w:val="001C660E"/>
    <w:rsid w:val="001C6628"/>
    <w:rsid w:val="001C67EF"/>
    <w:rsid w:val="001C744A"/>
    <w:rsid w:val="001C7677"/>
    <w:rsid w:val="001C7A2B"/>
    <w:rsid w:val="001C7AFD"/>
    <w:rsid w:val="001C7E4C"/>
    <w:rsid w:val="001D03EB"/>
    <w:rsid w:val="001D1A8A"/>
    <w:rsid w:val="001D2C3D"/>
    <w:rsid w:val="001D2CC8"/>
    <w:rsid w:val="001D2FDA"/>
    <w:rsid w:val="001D318D"/>
    <w:rsid w:val="001D3A00"/>
    <w:rsid w:val="001D3AEA"/>
    <w:rsid w:val="001D46FF"/>
    <w:rsid w:val="001D494D"/>
    <w:rsid w:val="001D4FC2"/>
    <w:rsid w:val="001D512E"/>
    <w:rsid w:val="001D5623"/>
    <w:rsid w:val="001D5721"/>
    <w:rsid w:val="001D5898"/>
    <w:rsid w:val="001D5ABE"/>
    <w:rsid w:val="001D5B62"/>
    <w:rsid w:val="001D5E45"/>
    <w:rsid w:val="001D5E78"/>
    <w:rsid w:val="001D6D84"/>
    <w:rsid w:val="001D7077"/>
    <w:rsid w:val="001D7F8A"/>
    <w:rsid w:val="001E0620"/>
    <w:rsid w:val="001E0BCC"/>
    <w:rsid w:val="001E107F"/>
    <w:rsid w:val="001E136E"/>
    <w:rsid w:val="001E15F2"/>
    <w:rsid w:val="001E2072"/>
    <w:rsid w:val="001E2215"/>
    <w:rsid w:val="001E24E1"/>
    <w:rsid w:val="001E310D"/>
    <w:rsid w:val="001E3584"/>
    <w:rsid w:val="001E375A"/>
    <w:rsid w:val="001E38D3"/>
    <w:rsid w:val="001E38DF"/>
    <w:rsid w:val="001E394B"/>
    <w:rsid w:val="001E3A56"/>
    <w:rsid w:val="001E461F"/>
    <w:rsid w:val="001E4742"/>
    <w:rsid w:val="001E4B21"/>
    <w:rsid w:val="001E4C29"/>
    <w:rsid w:val="001E4C7D"/>
    <w:rsid w:val="001E5705"/>
    <w:rsid w:val="001E6876"/>
    <w:rsid w:val="001E6CF0"/>
    <w:rsid w:val="001E7885"/>
    <w:rsid w:val="001E7AAF"/>
    <w:rsid w:val="001F0074"/>
    <w:rsid w:val="001F0542"/>
    <w:rsid w:val="001F131E"/>
    <w:rsid w:val="001F17A0"/>
    <w:rsid w:val="001F1E6E"/>
    <w:rsid w:val="001F2685"/>
    <w:rsid w:val="001F30FA"/>
    <w:rsid w:val="001F37DB"/>
    <w:rsid w:val="001F3C18"/>
    <w:rsid w:val="001F3D61"/>
    <w:rsid w:val="001F42B3"/>
    <w:rsid w:val="001F5476"/>
    <w:rsid w:val="001F54F9"/>
    <w:rsid w:val="001F5B9F"/>
    <w:rsid w:val="001F6FD6"/>
    <w:rsid w:val="001F7429"/>
    <w:rsid w:val="001F7559"/>
    <w:rsid w:val="001F7665"/>
    <w:rsid w:val="001F7F7B"/>
    <w:rsid w:val="002002BF"/>
    <w:rsid w:val="0020073D"/>
    <w:rsid w:val="0020133D"/>
    <w:rsid w:val="002017D5"/>
    <w:rsid w:val="00201ACC"/>
    <w:rsid w:val="00201D9E"/>
    <w:rsid w:val="00201E10"/>
    <w:rsid w:val="00202E55"/>
    <w:rsid w:val="00202F13"/>
    <w:rsid w:val="00203599"/>
    <w:rsid w:val="002036A4"/>
    <w:rsid w:val="00203B1F"/>
    <w:rsid w:val="00203C98"/>
    <w:rsid w:val="00203DB8"/>
    <w:rsid w:val="00203F1E"/>
    <w:rsid w:val="00204018"/>
    <w:rsid w:val="002042DD"/>
    <w:rsid w:val="00205E6C"/>
    <w:rsid w:val="00207027"/>
    <w:rsid w:val="0020739B"/>
    <w:rsid w:val="00210386"/>
    <w:rsid w:val="0021059A"/>
    <w:rsid w:val="00210C56"/>
    <w:rsid w:val="00210CC5"/>
    <w:rsid w:val="00211016"/>
    <w:rsid w:val="00211054"/>
    <w:rsid w:val="00211419"/>
    <w:rsid w:val="00211671"/>
    <w:rsid w:val="00212A9A"/>
    <w:rsid w:val="00212E78"/>
    <w:rsid w:val="00212F0A"/>
    <w:rsid w:val="00212F68"/>
    <w:rsid w:val="00213419"/>
    <w:rsid w:val="002135C1"/>
    <w:rsid w:val="002137EE"/>
    <w:rsid w:val="00213831"/>
    <w:rsid w:val="00213ADE"/>
    <w:rsid w:val="00213D33"/>
    <w:rsid w:val="00213FF1"/>
    <w:rsid w:val="00214A7C"/>
    <w:rsid w:val="00214AE8"/>
    <w:rsid w:val="00214FED"/>
    <w:rsid w:val="0021518A"/>
    <w:rsid w:val="0021526A"/>
    <w:rsid w:val="00216C3B"/>
    <w:rsid w:val="00216C9A"/>
    <w:rsid w:val="00216DDC"/>
    <w:rsid w:val="00216E07"/>
    <w:rsid w:val="00217546"/>
    <w:rsid w:val="00217F21"/>
    <w:rsid w:val="002202B1"/>
    <w:rsid w:val="002203C0"/>
    <w:rsid w:val="002204FA"/>
    <w:rsid w:val="002207CC"/>
    <w:rsid w:val="0022083E"/>
    <w:rsid w:val="0022088E"/>
    <w:rsid w:val="00220958"/>
    <w:rsid w:val="00221366"/>
    <w:rsid w:val="002214B0"/>
    <w:rsid w:val="002214E3"/>
    <w:rsid w:val="00221768"/>
    <w:rsid w:val="0022183B"/>
    <w:rsid w:val="00221992"/>
    <w:rsid w:val="00221F81"/>
    <w:rsid w:val="0022207A"/>
    <w:rsid w:val="002227D0"/>
    <w:rsid w:val="0022284F"/>
    <w:rsid w:val="00222A38"/>
    <w:rsid w:val="00222ABF"/>
    <w:rsid w:val="00222C71"/>
    <w:rsid w:val="00223030"/>
    <w:rsid w:val="00223032"/>
    <w:rsid w:val="00223834"/>
    <w:rsid w:val="00223ACE"/>
    <w:rsid w:val="002244B0"/>
    <w:rsid w:val="00224AA4"/>
    <w:rsid w:val="00224AD7"/>
    <w:rsid w:val="00225372"/>
    <w:rsid w:val="00225719"/>
    <w:rsid w:val="002258DC"/>
    <w:rsid w:val="00225995"/>
    <w:rsid w:val="00226503"/>
    <w:rsid w:val="00226B84"/>
    <w:rsid w:val="00226F2C"/>
    <w:rsid w:val="00227646"/>
    <w:rsid w:val="0022770C"/>
    <w:rsid w:val="00227F18"/>
    <w:rsid w:val="0023149A"/>
    <w:rsid w:val="0023152D"/>
    <w:rsid w:val="00231708"/>
    <w:rsid w:val="00231ABA"/>
    <w:rsid w:val="00233455"/>
    <w:rsid w:val="00233596"/>
    <w:rsid w:val="002337E1"/>
    <w:rsid w:val="00233969"/>
    <w:rsid w:val="002346B0"/>
    <w:rsid w:val="00235346"/>
    <w:rsid w:val="002368B3"/>
    <w:rsid w:val="00236CC1"/>
    <w:rsid w:val="00237123"/>
    <w:rsid w:val="00237920"/>
    <w:rsid w:val="00237E32"/>
    <w:rsid w:val="00237FB4"/>
    <w:rsid w:val="0024046B"/>
    <w:rsid w:val="0024091E"/>
    <w:rsid w:val="00240A2D"/>
    <w:rsid w:val="00240CCF"/>
    <w:rsid w:val="002412F5"/>
    <w:rsid w:val="00242BBB"/>
    <w:rsid w:val="00242D8C"/>
    <w:rsid w:val="00243D6B"/>
    <w:rsid w:val="00244C78"/>
    <w:rsid w:val="0024519E"/>
    <w:rsid w:val="00245258"/>
    <w:rsid w:val="002452DF"/>
    <w:rsid w:val="002457C2"/>
    <w:rsid w:val="00245AD0"/>
    <w:rsid w:val="00245BE3"/>
    <w:rsid w:val="00246821"/>
    <w:rsid w:val="0024694E"/>
    <w:rsid w:val="00246DBA"/>
    <w:rsid w:val="00246EA4"/>
    <w:rsid w:val="00247B82"/>
    <w:rsid w:val="00250498"/>
    <w:rsid w:val="0025082F"/>
    <w:rsid w:val="002508FA"/>
    <w:rsid w:val="00250B4D"/>
    <w:rsid w:val="00251396"/>
    <w:rsid w:val="002515DC"/>
    <w:rsid w:val="0025180E"/>
    <w:rsid w:val="00251C26"/>
    <w:rsid w:val="00251C8C"/>
    <w:rsid w:val="00251D7D"/>
    <w:rsid w:val="002520A7"/>
    <w:rsid w:val="00252399"/>
    <w:rsid w:val="00252640"/>
    <w:rsid w:val="00252B8A"/>
    <w:rsid w:val="002531D4"/>
    <w:rsid w:val="00253285"/>
    <w:rsid w:val="00253431"/>
    <w:rsid w:val="00253C36"/>
    <w:rsid w:val="002540CD"/>
    <w:rsid w:val="002541B6"/>
    <w:rsid w:val="00254CB3"/>
    <w:rsid w:val="0025524F"/>
    <w:rsid w:val="002557C0"/>
    <w:rsid w:val="00255904"/>
    <w:rsid w:val="002559A5"/>
    <w:rsid w:val="00255FFB"/>
    <w:rsid w:val="00256C49"/>
    <w:rsid w:val="00256C84"/>
    <w:rsid w:val="00256FC4"/>
    <w:rsid w:val="002570DB"/>
    <w:rsid w:val="00257238"/>
    <w:rsid w:val="002572A3"/>
    <w:rsid w:val="002572C0"/>
    <w:rsid w:val="002600F9"/>
    <w:rsid w:val="00260115"/>
    <w:rsid w:val="0026019B"/>
    <w:rsid w:val="002606C5"/>
    <w:rsid w:val="00260765"/>
    <w:rsid w:val="00260FBC"/>
    <w:rsid w:val="00261009"/>
    <w:rsid w:val="00261638"/>
    <w:rsid w:val="0026189A"/>
    <w:rsid w:val="002619E7"/>
    <w:rsid w:val="00261C1D"/>
    <w:rsid w:val="00261DD3"/>
    <w:rsid w:val="00261FBB"/>
    <w:rsid w:val="00262069"/>
    <w:rsid w:val="002621D1"/>
    <w:rsid w:val="002629D8"/>
    <w:rsid w:val="00262B48"/>
    <w:rsid w:val="002631BE"/>
    <w:rsid w:val="0026340C"/>
    <w:rsid w:val="00263493"/>
    <w:rsid w:val="0026394E"/>
    <w:rsid w:val="00263981"/>
    <w:rsid w:val="002641D3"/>
    <w:rsid w:val="00264C49"/>
    <w:rsid w:val="0026520F"/>
    <w:rsid w:val="00265689"/>
    <w:rsid w:val="00265FD5"/>
    <w:rsid w:val="00266C85"/>
    <w:rsid w:val="00266D95"/>
    <w:rsid w:val="00266E47"/>
    <w:rsid w:val="0026703E"/>
    <w:rsid w:val="00267DB9"/>
    <w:rsid w:val="00267DF6"/>
    <w:rsid w:val="00270532"/>
    <w:rsid w:val="00270690"/>
    <w:rsid w:val="00270DD9"/>
    <w:rsid w:val="00270ED2"/>
    <w:rsid w:val="00271146"/>
    <w:rsid w:val="002712B0"/>
    <w:rsid w:val="0027140B"/>
    <w:rsid w:val="002716C1"/>
    <w:rsid w:val="0027173A"/>
    <w:rsid w:val="0027189F"/>
    <w:rsid w:val="00271960"/>
    <w:rsid w:val="00271DE8"/>
    <w:rsid w:val="00271F33"/>
    <w:rsid w:val="00271FDC"/>
    <w:rsid w:val="00272AFA"/>
    <w:rsid w:val="00274138"/>
    <w:rsid w:val="00274804"/>
    <w:rsid w:val="00274925"/>
    <w:rsid w:val="00274ABC"/>
    <w:rsid w:val="00274AEF"/>
    <w:rsid w:val="002754AB"/>
    <w:rsid w:val="00275C74"/>
    <w:rsid w:val="00275CD0"/>
    <w:rsid w:val="002762CC"/>
    <w:rsid w:val="002762E1"/>
    <w:rsid w:val="002765F9"/>
    <w:rsid w:val="002769A4"/>
    <w:rsid w:val="00276B77"/>
    <w:rsid w:val="00276DAE"/>
    <w:rsid w:val="00276E65"/>
    <w:rsid w:val="002774EF"/>
    <w:rsid w:val="002776FD"/>
    <w:rsid w:val="00277940"/>
    <w:rsid w:val="00277AA2"/>
    <w:rsid w:val="002803FD"/>
    <w:rsid w:val="002806E6"/>
    <w:rsid w:val="00280C4E"/>
    <w:rsid w:val="002812FE"/>
    <w:rsid w:val="00281C82"/>
    <w:rsid w:val="00281EC6"/>
    <w:rsid w:val="002820BB"/>
    <w:rsid w:val="00283748"/>
    <w:rsid w:val="00283DBF"/>
    <w:rsid w:val="00283DCB"/>
    <w:rsid w:val="002847C8"/>
    <w:rsid w:val="00285138"/>
    <w:rsid w:val="0028533D"/>
    <w:rsid w:val="0028557F"/>
    <w:rsid w:val="00285879"/>
    <w:rsid w:val="002859C3"/>
    <w:rsid w:val="0028647F"/>
    <w:rsid w:val="0028752F"/>
    <w:rsid w:val="0028757C"/>
    <w:rsid w:val="00287C4D"/>
    <w:rsid w:val="00287C59"/>
    <w:rsid w:val="00290084"/>
    <w:rsid w:val="0029039F"/>
    <w:rsid w:val="00290ACA"/>
    <w:rsid w:val="00290B80"/>
    <w:rsid w:val="0029125B"/>
    <w:rsid w:val="00291290"/>
    <w:rsid w:val="00291914"/>
    <w:rsid w:val="00291A91"/>
    <w:rsid w:val="00291AB1"/>
    <w:rsid w:val="00291BEB"/>
    <w:rsid w:val="002920E6"/>
    <w:rsid w:val="002921E4"/>
    <w:rsid w:val="00292D6C"/>
    <w:rsid w:val="00292D79"/>
    <w:rsid w:val="00292E1F"/>
    <w:rsid w:val="00293508"/>
    <w:rsid w:val="00293642"/>
    <w:rsid w:val="00293EDB"/>
    <w:rsid w:val="002943B5"/>
    <w:rsid w:val="002946EC"/>
    <w:rsid w:val="0029561A"/>
    <w:rsid w:val="00295A5F"/>
    <w:rsid w:val="002973E4"/>
    <w:rsid w:val="0029744A"/>
    <w:rsid w:val="002A03C3"/>
    <w:rsid w:val="002A089D"/>
    <w:rsid w:val="002A0955"/>
    <w:rsid w:val="002A0D2B"/>
    <w:rsid w:val="002A0ED5"/>
    <w:rsid w:val="002A16A7"/>
    <w:rsid w:val="002A1E14"/>
    <w:rsid w:val="002A207E"/>
    <w:rsid w:val="002A2615"/>
    <w:rsid w:val="002A27AD"/>
    <w:rsid w:val="002A2DE6"/>
    <w:rsid w:val="002A2EC6"/>
    <w:rsid w:val="002A3448"/>
    <w:rsid w:val="002A3B64"/>
    <w:rsid w:val="002A4AB7"/>
    <w:rsid w:val="002A5061"/>
    <w:rsid w:val="002A5891"/>
    <w:rsid w:val="002A59A4"/>
    <w:rsid w:val="002A63E6"/>
    <w:rsid w:val="002A65F0"/>
    <w:rsid w:val="002A6A15"/>
    <w:rsid w:val="002A70CB"/>
    <w:rsid w:val="002A778D"/>
    <w:rsid w:val="002A77E2"/>
    <w:rsid w:val="002A7861"/>
    <w:rsid w:val="002B0141"/>
    <w:rsid w:val="002B0AB1"/>
    <w:rsid w:val="002B0E28"/>
    <w:rsid w:val="002B0F26"/>
    <w:rsid w:val="002B1297"/>
    <w:rsid w:val="002B138B"/>
    <w:rsid w:val="002B15D6"/>
    <w:rsid w:val="002B181C"/>
    <w:rsid w:val="002B1942"/>
    <w:rsid w:val="002B1D55"/>
    <w:rsid w:val="002B202C"/>
    <w:rsid w:val="002B216E"/>
    <w:rsid w:val="002B2279"/>
    <w:rsid w:val="002B252F"/>
    <w:rsid w:val="002B2764"/>
    <w:rsid w:val="002B294D"/>
    <w:rsid w:val="002B2957"/>
    <w:rsid w:val="002B2EF1"/>
    <w:rsid w:val="002B3389"/>
    <w:rsid w:val="002B33A9"/>
    <w:rsid w:val="002B353A"/>
    <w:rsid w:val="002B3AA8"/>
    <w:rsid w:val="002B4064"/>
    <w:rsid w:val="002B406D"/>
    <w:rsid w:val="002B4555"/>
    <w:rsid w:val="002B4E15"/>
    <w:rsid w:val="002B4F59"/>
    <w:rsid w:val="002B5396"/>
    <w:rsid w:val="002B580E"/>
    <w:rsid w:val="002B5C34"/>
    <w:rsid w:val="002B5E4F"/>
    <w:rsid w:val="002B6F47"/>
    <w:rsid w:val="002B70B2"/>
    <w:rsid w:val="002B70C8"/>
    <w:rsid w:val="002B75B0"/>
    <w:rsid w:val="002B78BC"/>
    <w:rsid w:val="002C0226"/>
    <w:rsid w:val="002C02A9"/>
    <w:rsid w:val="002C083F"/>
    <w:rsid w:val="002C0E70"/>
    <w:rsid w:val="002C1184"/>
    <w:rsid w:val="002C11C9"/>
    <w:rsid w:val="002C131A"/>
    <w:rsid w:val="002C1381"/>
    <w:rsid w:val="002C1456"/>
    <w:rsid w:val="002C15C0"/>
    <w:rsid w:val="002C1628"/>
    <w:rsid w:val="002C1933"/>
    <w:rsid w:val="002C1C69"/>
    <w:rsid w:val="002C1DE2"/>
    <w:rsid w:val="002C222B"/>
    <w:rsid w:val="002C224D"/>
    <w:rsid w:val="002C2692"/>
    <w:rsid w:val="002C2C83"/>
    <w:rsid w:val="002C2EFE"/>
    <w:rsid w:val="002C2F9C"/>
    <w:rsid w:val="002C30B4"/>
    <w:rsid w:val="002C4373"/>
    <w:rsid w:val="002C468B"/>
    <w:rsid w:val="002C4AA5"/>
    <w:rsid w:val="002C4E75"/>
    <w:rsid w:val="002C6553"/>
    <w:rsid w:val="002C7158"/>
    <w:rsid w:val="002C719F"/>
    <w:rsid w:val="002C721C"/>
    <w:rsid w:val="002C75E2"/>
    <w:rsid w:val="002C7ACD"/>
    <w:rsid w:val="002C7FC9"/>
    <w:rsid w:val="002D0381"/>
    <w:rsid w:val="002D097C"/>
    <w:rsid w:val="002D12D1"/>
    <w:rsid w:val="002D1810"/>
    <w:rsid w:val="002D190C"/>
    <w:rsid w:val="002D203A"/>
    <w:rsid w:val="002D23E8"/>
    <w:rsid w:val="002D2BAE"/>
    <w:rsid w:val="002D2ED5"/>
    <w:rsid w:val="002D3E56"/>
    <w:rsid w:val="002D46C1"/>
    <w:rsid w:val="002D4B85"/>
    <w:rsid w:val="002D559B"/>
    <w:rsid w:val="002D5A71"/>
    <w:rsid w:val="002D6080"/>
    <w:rsid w:val="002D6091"/>
    <w:rsid w:val="002D617E"/>
    <w:rsid w:val="002D61C3"/>
    <w:rsid w:val="002D655F"/>
    <w:rsid w:val="002D66AC"/>
    <w:rsid w:val="002D7E19"/>
    <w:rsid w:val="002D7E3D"/>
    <w:rsid w:val="002E0573"/>
    <w:rsid w:val="002E0969"/>
    <w:rsid w:val="002E0B96"/>
    <w:rsid w:val="002E0BF5"/>
    <w:rsid w:val="002E0EB3"/>
    <w:rsid w:val="002E11A9"/>
    <w:rsid w:val="002E2110"/>
    <w:rsid w:val="002E29B1"/>
    <w:rsid w:val="002E29C4"/>
    <w:rsid w:val="002E3164"/>
    <w:rsid w:val="002E338B"/>
    <w:rsid w:val="002E49C2"/>
    <w:rsid w:val="002E4B7B"/>
    <w:rsid w:val="002E5CCC"/>
    <w:rsid w:val="002E5E70"/>
    <w:rsid w:val="002E5ECC"/>
    <w:rsid w:val="002E5FD7"/>
    <w:rsid w:val="002E63CA"/>
    <w:rsid w:val="002E6E8D"/>
    <w:rsid w:val="002E7FBC"/>
    <w:rsid w:val="002F01E9"/>
    <w:rsid w:val="002F02BB"/>
    <w:rsid w:val="002F02F9"/>
    <w:rsid w:val="002F15C2"/>
    <w:rsid w:val="002F16D5"/>
    <w:rsid w:val="002F1B7E"/>
    <w:rsid w:val="002F2022"/>
    <w:rsid w:val="002F21DF"/>
    <w:rsid w:val="002F2C0E"/>
    <w:rsid w:val="002F2D5F"/>
    <w:rsid w:val="002F2DC8"/>
    <w:rsid w:val="002F37C4"/>
    <w:rsid w:val="002F3B3D"/>
    <w:rsid w:val="002F4191"/>
    <w:rsid w:val="002F4659"/>
    <w:rsid w:val="002F5583"/>
    <w:rsid w:val="002F5DFA"/>
    <w:rsid w:val="002F7191"/>
    <w:rsid w:val="002F73AE"/>
    <w:rsid w:val="002F7628"/>
    <w:rsid w:val="002F7927"/>
    <w:rsid w:val="002F79B7"/>
    <w:rsid w:val="002F7B00"/>
    <w:rsid w:val="0030033B"/>
    <w:rsid w:val="00300EC0"/>
    <w:rsid w:val="00300F8C"/>
    <w:rsid w:val="00301388"/>
    <w:rsid w:val="003018E0"/>
    <w:rsid w:val="003022D0"/>
    <w:rsid w:val="003029D3"/>
    <w:rsid w:val="00302D20"/>
    <w:rsid w:val="00302F95"/>
    <w:rsid w:val="003031C8"/>
    <w:rsid w:val="00303440"/>
    <w:rsid w:val="003035A7"/>
    <w:rsid w:val="0030371A"/>
    <w:rsid w:val="003045DE"/>
    <w:rsid w:val="00304904"/>
    <w:rsid w:val="00304A60"/>
    <w:rsid w:val="00304B26"/>
    <w:rsid w:val="003050C9"/>
    <w:rsid w:val="00305137"/>
    <w:rsid w:val="00305583"/>
    <w:rsid w:val="0030560D"/>
    <w:rsid w:val="003056D2"/>
    <w:rsid w:val="003057A7"/>
    <w:rsid w:val="00305DA6"/>
    <w:rsid w:val="0030603F"/>
    <w:rsid w:val="003064AE"/>
    <w:rsid w:val="003066DB"/>
    <w:rsid w:val="00306E50"/>
    <w:rsid w:val="00307DFC"/>
    <w:rsid w:val="00307E24"/>
    <w:rsid w:val="00307F5B"/>
    <w:rsid w:val="00310B45"/>
    <w:rsid w:val="00310C57"/>
    <w:rsid w:val="00310C5B"/>
    <w:rsid w:val="0031125C"/>
    <w:rsid w:val="00311292"/>
    <w:rsid w:val="00311639"/>
    <w:rsid w:val="00311791"/>
    <w:rsid w:val="00311AA9"/>
    <w:rsid w:val="0031219A"/>
    <w:rsid w:val="00312292"/>
    <w:rsid w:val="0031241B"/>
    <w:rsid w:val="00312644"/>
    <w:rsid w:val="0031308A"/>
    <w:rsid w:val="0031400A"/>
    <w:rsid w:val="00314068"/>
    <w:rsid w:val="00314F25"/>
    <w:rsid w:val="003151CC"/>
    <w:rsid w:val="00315573"/>
    <w:rsid w:val="003155F7"/>
    <w:rsid w:val="003157A6"/>
    <w:rsid w:val="00315804"/>
    <w:rsid w:val="003172A0"/>
    <w:rsid w:val="0031770E"/>
    <w:rsid w:val="0032079F"/>
    <w:rsid w:val="00320A08"/>
    <w:rsid w:val="00320FB4"/>
    <w:rsid w:val="0032144F"/>
    <w:rsid w:val="00321464"/>
    <w:rsid w:val="00321BEF"/>
    <w:rsid w:val="00321C5C"/>
    <w:rsid w:val="0032292A"/>
    <w:rsid w:val="00322C2D"/>
    <w:rsid w:val="00322C44"/>
    <w:rsid w:val="0032337E"/>
    <w:rsid w:val="00323CD8"/>
    <w:rsid w:val="00323E48"/>
    <w:rsid w:val="00323F5E"/>
    <w:rsid w:val="0032408D"/>
    <w:rsid w:val="003246B0"/>
    <w:rsid w:val="00324CA5"/>
    <w:rsid w:val="003263A1"/>
    <w:rsid w:val="003267AA"/>
    <w:rsid w:val="003273CF"/>
    <w:rsid w:val="003276AC"/>
    <w:rsid w:val="00327AD4"/>
    <w:rsid w:val="0033098F"/>
    <w:rsid w:val="00330BB0"/>
    <w:rsid w:val="00332090"/>
    <w:rsid w:val="003327AE"/>
    <w:rsid w:val="00332C08"/>
    <w:rsid w:val="003330E1"/>
    <w:rsid w:val="003333EF"/>
    <w:rsid w:val="003335A9"/>
    <w:rsid w:val="00333C29"/>
    <w:rsid w:val="00334009"/>
    <w:rsid w:val="003342BE"/>
    <w:rsid w:val="00334C35"/>
    <w:rsid w:val="003354EE"/>
    <w:rsid w:val="0033558D"/>
    <w:rsid w:val="00335651"/>
    <w:rsid w:val="003359F1"/>
    <w:rsid w:val="00336309"/>
    <w:rsid w:val="003363D8"/>
    <w:rsid w:val="00336E4C"/>
    <w:rsid w:val="00337B52"/>
    <w:rsid w:val="0034017A"/>
    <w:rsid w:val="003402AD"/>
    <w:rsid w:val="0034043B"/>
    <w:rsid w:val="003406DB"/>
    <w:rsid w:val="00340A00"/>
    <w:rsid w:val="00341DA4"/>
    <w:rsid w:val="00342198"/>
    <w:rsid w:val="00342F11"/>
    <w:rsid w:val="003454D9"/>
    <w:rsid w:val="003460A6"/>
    <w:rsid w:val="0034654E"/>
    <w:rsid w:val="003466E9"/>
    <w:rsid w:val="00346D84"/>
    <w:rsid w:val="00346F2E"/>
    <w:rsid w:val="00347628"/>
    <w:rsid w:val="003478A8"/>
    <w:rsid w:val="00347AB9"/>
    <w:rsid w:val="00350399"/>
    <w:rsid w:val="0035077E"/>
    <w:rsid w:val="00350EC5"/>
    <w:rsid w:val="0035127E"/>
    <w:rsid w:val="003515D2"/>
    <w:rsid w:val="003517FE"/>
    <w:rsid w:val="00351ACD"/>
    <w:rsid w:val="00351BF6"/>
    <w:rsid w:val="00351F05"/>
    <w:rsid w:val="00352B28"/>
    <w:rsid w:val="00352B92"/>
    <w:rsid w:val="00352E39"/>
    <w:rsid w:val="00352E92"/>
    <w:rsid w:val="00353473"/>
    <w:rsid w:val="00353562"/>
    <w:rsid w:val="00353712"/>
    <w:rsid w:val="00353948"/>
    <w:rsid w:val="00354017"/>
    <w:rsid w:val="003542C4"/>
    <w:rsid w:val="00354C14"/>
    <w:rsid w:val="0035544A"/>
    <w:rsid w:val="00355A93"/>
    <w:rsid w:val="00355ABA"/>
    <w:rsid w:val="00356448"/>
    <w:rsid w:val="00356AA7"/>
    <w:rsid w:val="003570FE"/>
    <w:rsid w:val="00357FE2"/>
    <w:rsid w:val="00360031"/>
    <w:rsid w:val="003600BF"/>
    <w:rsid w:val="0036021C"/>
    <w:rsid w:val="00360429"/>
    <w:rsid w:val="003606BC"/>
    <w:rsid w:val="00360977"/>
    <w:rsid w:val="003610F0"/>
    <w:rsid w:val="00361A99"/>
    <w:rsid w:val="00361FB9"/>
    <w:rsid w:val="0036205E"/>
    <w:rsid w:val="00362825"/>
    <w:rsid w:val="003628CD"/>
    <w:rsid w:val="00363386"/>
    <w:rsid w:val="0036367F"/>
    <w:rsid w:val="0036378E"/>
    <w:rsid w:val="00364283"/>
    <w:rsid w:val="00365478"/>
    <w:rsid w:val="003655E6"/>
    <w:rsid w:val="00365B45"/>
    <w:rsid w:val="00365C1E"/>
    <w:rsid w:val="00365F17"/>
    <w:rsid w:val="003664F5"/>
    <w:rsid w:val="00367AF5"/>
    <w:rsid w:val="00367E61"/>
    <w:rsid w:val="003700A4"/>
    <w:rsid w:val="00370218"/>
    <w:rsid w:val="00371077"/>
    <w:rsid w:val="003717D0"/>
    <w:rsid w:val="00371E5D"/>
    <w:rsid w:val="00372099"/>
    <w:rsid w:val="00372230"/>
    <w:rsid w:val="00372262"/>
    <w:rsid w:val="0037249F"/>
    <w:rsid w:val="00372934"/>
    <w:rsid w:val="003735C7"/>
    <w:rsid w:val="00373691"/>
    <w:rsid w:val="00373E26"/>
    <w:rsid w:val="00374645"/>
    <w:rsid w:val="003747FF"/>
    <w:rsid w:val="00374BBD"/>
    <w:rsid w:val="0037508F"/>
    <w:rsid w:val="00375244"/>
    <w:rsid w:val="00375610"/>
    <w:rsid w:val="00375A41"/>
    <w:rsid w:val="00376125"/>
    <w:rsid w:val="0037652B"/>
    <w:rsid w:val="003775AE"/>
    <w:rsid w:val="0037764B"/>
    <w:rsid w:val="003776E3"/>
    <w:rsid w:val="003776F3"/>
    <w:rsid w:val="00377A98"/>
    <w:rsid w:val="00377C20"/>
    <w:rsid w:val="00377F16"/>
    <w:rsid w:val="003800C0"/>
    <w:rsid w:val="00381116"/>
    <w:rsid w:val="003813DE"/>
    <w:rsid w:val="00381697"/>
    <w:rsid w:val="00381932"/>
    <w:rsid w:val="00381E0E"/>
    <w:rsid w:val="003820C4"/>
    <w:rsid w:val="00382277"/>
    <w:rsid w:val="0038263B"/>
    <w:rsid w:val="003829AA"/>
    <w:rsid w:val="00382C10"/>
    <w:rsid w:val="00383515"/>
    <w:rsid w:val="00383E26"/>
    <w:rsid w:val="00383F28"/>
    <w:rsid w:val="003847BC"/>
    <w:rsid w:val="0038518B"/>
    <w:rsid w:val="003851B7"/>
    <w:rsid w:val="0038565B"/>
    <w:rsid w:val="00385E52"/>
    <w:rsid w:val="0038616F"/>
    <w:rsid w:val="0038667F"/>
    <w:rsid w:val="00386971"/>
    <w:rsid w:val="00386B66"/>
    <w:rsid w:val="00386DD3"/>
    <w:rsid w:val="00387433"/>
    <w:rsid w:val="00390B00"/>
    <w:rsid w:val="00390DE1"/>
    <w:rsid w:val="00391113"/>
    <w:rsid w:val="00391323"/>
    <w:rsid w:val="00391788"/>
    <w:rsid w:val="0039216D"/>
    <w:rsid w:val="003930BF"/>
    <w:rsid w:val="00393424"/>
    <w:rsid w:val="00393912"/>
    <w:rsid w:val="00393F5E"/>
    <w:rsid w:val="00394634"/>
    <w:rsid w:val="00394678"/>
    <w:rsid w:val="0039541C"/>
    <w:rsid w:val="003963C3"/>
    <w:rsid w:val="003966D5"/>
    <w:rsid w:val="00396921"/>
    <w:rsid w:val="00396F77"/>
    <w:rsid w:val="003971B6"/>
    <w:rsid w:val="0039736F"/>
    <w:rsid w:val="0039794F"/>
    <w:rsid w:val="00397DD7"/>
    <w:rsid w:val="003A0B93"/>
    <w:rsid w:val="003A189D"/>
    <w:rsid w:val="003A20FA"/>
    <w:rsid w:val="003A2E9D"/>
    <w:rsid w:val="003A380A"/>
    <w:rsid w:val="003A392B"/>
    <w:rsid w:val="003A435D"/>
    <w:rsid w:val="003A4AD2"/>
    <w:rsid w:val="003A4C04"/>
    <w:rsid w:val="003A5112"/>
    <w:rsid w:val="003A527D"/>
    <w:rsid w:val="003A533D"/>
    <w:rsid w:val="003A5453"/>
    <w:rsid w:val="003A5D6B"/>
    <w:rsid w:val="003A642A"/>
    <w:rsid w:val="003A6CBE"/>
    <w:rsid w:val="003A73D6"/>
    <w:rsid w:val="003A7C8A"/>
    <w:rsid w:val="003B06E7"/>
    <w:rsid w:val="003B0C03"/>
    <w:rsid w:val="003B13D5"/>
    <w:rsid w:val="003B14C3"/>
    <w:rsid w:val="003B1DFA"/>
    <w:rsid w:val="003B3A24"/>
    <w:rsid w:val="003B43DB"/>
    <w:rsid w:val="003B45AB"/>
    <w:rsid w:val="003B497B"/>
    <w:rsid w:val="003B5577"/>
    <w:rsid w:val="003B617F"/>
    <w:rsid w:val="003B62C8"/>
    <w:rsid w:val="003B6340"/>
    <w:rsid w:val="003B6B04"/>
    <w:rsid w:val="003B6E38"/>
    <w:rsid w:val="003B6FF8"/>
    <w:rsid w:val="003B74AA"/>
    <w:rsid w:val="003B766B"/>
    <w:rsid w:val="003B77BD"/>
    <w:rsid w:val="003B7C92"/>
    <w:rsid w:val="003B7FC9"/>
    <w:rsid w:val="003C0E9A"/>
    <w:rsid w:val="003C132B"/>
    <w:rsid w:val="003C1637"/>
    <w:rsid w:val="003C21AF"/>
    <w:rsid w:val="003C245B"/>
    <w:rsid w:val="003C26C8"/>
    <w:rsid w:val="003C276D"/>
    <w:rsid w:val="003C3B2B"/>
    <w:rsid w:val="003C3B82"/>
    <w:rsid w:val="003C3FB3"/>
    <w:rsid w:val="003C4248"/>
    <w:rsid w:val="003C4318"/>
    <w:rsid w:val="003C464D"/>
    <w:rsid w:val="003C4D78"/>
    <w:rsid w:val="003C5697"/>
    <w:rsid w:val="003C6037"/>
    <w:rsid w:val="003C689F"/>
    <w:rsid w:val="003C6E08"/>
    <w:rsid w:val="003C6F24"/>
    <w:rsid w:val="003C7CF1"/>
    <w:rsid w:val="003D077F"/>
    <w:rsid w:val="003D07ED"/>
    <w:rsid w:val="003D0C10"/>
    <w:rsid w:val="003D0F45"/>
    <w:rsid w:val="003D139E"/>
    <w:rsid w:val="003D14F2"/>
    <w:rsid w:val="003D151D"/>
    <w:rsid w:val="003D1D02"/>
    <w:rsid w:val="003D1EF3"/>
    <w:rsid w:val="003D2C4D"/>
    <w:rsid w:val="003D2DA9"/>
    <w:rsid w:val="003D310D"/>
    <w:rsid w:val="003D31C0"/>
    <w:rsid w:val="003D3CF9"/>
    <w:rsid w:val="003D42B8"/>
    <w:rsid w:val="003D4353"/>
    <w:rsid w:val="003D56E3"/>
    <w:rsid w:val="003D57DF"/>
    <w:rsid w:val="003D60A9"/>
    <w:rsid w:val="003D6C55"/>
    <w:rsid w:val="003D6F01"/>
    <w:rsid w:val="003D737B"/>
    <w:rsid w:val="003D742B"/>
    <w:rsid w:val="003D7436"/>
    <w:rsid w:val="003D7E61"/>
    <w:rsid w:val="003D7EBB"/>
    <w:rsid w:val="003E0A2E"/>
    <w:rsid w:val="003E0B7E"/>
    <w:rsid w:val="003E19F4"/>
    <w:rsid w:val="003E1DC8"/>
    <w:rsid w:val="003E1FF1"/>
    <w:rsid w:val="003E2186"/>
    <w:rsid w:val="003E2B67"/>
    <w:rsid w:val="003E2F6B"/>
    <w:rsid w:val="003E343D"/>
    <w:rsid w:val="003E351C"/>
    <w:rsid w:val="003E37E0"/>
    <w:rsid w:val="003E39F9"/>
    <w:rsid w:val="003E3B2C"/>
    <w:rsid w:val="003E3EBF"/>
    <w:rsid w:val="003E3F38"/>
    <w:rsid w:val="003E57D7"/>
    <w:rsid w:val="003E5BE1"/>
    <w:rsid w:val="003E5C74"/>
    <w:rsid w:val="003E5F35"/>
    <w:rsid w:val="003E6880"/>
    <w:rsid w:val="003E6B54"/>
    <w:rsid w:val="003E72DB"/>
    <w:rsid w:val="003F0DE5"/>
    <w:rsid w:val="003F1799"/>
    <w:rsid w:val="003F199E"/>
    <w:rsid w:val="003F1A18"/>
    <w:rsid w:val="003F1BB5"/>
    <w:rsid w:val="003F1C17"/>
    <w:rsid w:val="003F3290"/>
    <w:rsid w:val="003F37BF"/>
    <w:rsid w:val="003F410B"/>
    <w:rsid w:val="003F48B4"/>
    <w:rsid w:val="003F48F4"/>
    <w:rsid w:val="003F4AE4"/>
    <w:rsid w:val="003F5054"/>
    <w:rsid w:val="003F5444"/>
    <w:rsid w:val="003F577B"/>
    <w:rsid w:val="003F5A1F"/>
    <w:rsid w:val="003F6AC0"/>
    <w:rsid w:val="003F6D21"/>
    <w:rsid w:val="003F79B3"/>
    <w:rsid w:val="00400605"/>
    <w:rsid w:val="00400996"/>
    <w:rsid w:val="004013D4"/>
    <w:rsid w:val="00401597"/>
    <w:rsid w:val="004015B8"/>
    <w:rsid w:val="00401615"/>
    <w:rsid w:val="00401827"/>
    <w:rsid w:val="00401DA6"/>
    <w:rsid w:val="00402870"/>
    <w:rsid w:val="00402AE2"/>
    <w:rsid w:val="004036D2"/>
    <w:rsid w:val="00403742"/>
    <w:rsid w:val="00404240"/>
    <w:rsid w:val="004051BD"/>
    <w:rsid w:val="00405377"/>
    <w:rsid w:val="00406844"/>
    <w:rsid w:val="00406BDC"/>
    <w:rsid w:val="00406CB1"/>
    <w:rsid w:val="00406CF7"/>
    <w:rsid w:val="00406ECF"/>
    <w:rsid w:val="0040727A"/>
    <w:rsid w:val="00407858"/>
    <w:rsid w:val="00407A58"/>
    <w:rsid w:val="00407A89"/>
    <w:rsid w:val="0041092F"/>
    <w:rsid w:val="00410BCD"/>
    <w:rsid w:val="0041109B"/>
    <w:rsid w:val="00411629"/>
    <w:rsid w:val="004117FD"/>
    <w:rsid w:val="00411E48"/>
    <w:rsid w:val="004125C6"/>
    <w:rsid w:val="00412B2D"/>
    <w:rsid w:val="00412D78"/>
    <w:rsid w:val="00413B3F"/>
    <w:rsid w:val="00413ED0"/>
    <w:rsid w:val="00413EF2"/>
    <w:rsid w:val="00414071"/>
    <w:rsid w:val="00414CDD"/>
    <w:rsid w:val="00414EC0"/>
    <w:rsid w:val="00415086"/>
    <w:rsid w:val="00415AF8"/>
    <w:rsid w:val="00415C2F"/>
    <w:rsid w:val="004167FD"/>
    <w:rsid w:val="00416DF1"/>
    <w:rsid w:val="004171CB"/>
    <w:rsid w:val="004172DC"/>
    <w:rsid w:val="00417586"/>
    <w:rsid w:val="00417598"/>
    <w:rsid w:val="004177D9"/>
    <w:rsid w:val="004179AD"/>
    <w:rsid w:val="00417E85"/>
    <w:rsid w:val="004201AD"/>
    <w:rsid w:val="00420222"/>
    <w:rsid w:val="0042036D"/>
    <w:rsid w:val="004206C0"/>
    <w:rsid w:val="00420973"/>
    <w:rsid w:val="00420EF5"/>
    <w:rsid w:val="004211FF"/>
    <w:rsid w:val="004212B9"/>
    <w:rsid w:val="00421844"/>
    <w:rsid w:val="00421BC4"/>
    <w:rsid w:val="00421C9F"/>
    <w:rsid w:val="00421D63"/>
    <w:rsid w:val="00421DCE"/>
    <w:rsid w:val="0042210E"/>
    <w:rsid w:val="0042257F"/>
    <w:rsid w:val="004229AA"/>
    <w:rsid w:val="00422E18"/>
    <w:rsid w:val="00423115"/>
    <w:rsid w:val="0042366C"/>
    <w:rsid w:val="00424794"/>
    <w:rsid w:val="00424C53"/>
    <w:rsid w:val="00425202"/>
    <w:rsid w:val="004255EC"/>
    <w:rsid w:val="00425C38"/>
    <w:rsid w:val="00425E57"/>
    <w:rsid w:val="00426423"/>
    <w:rsid w:val="0042657C"/>
    <w:rsid w:val="0042691F"/>
    <w:rsid w:val="00426F9D"/>
    <w:rsid w:val="004276AE"/>
    <w:rsid w:val="00427B43"/>
    <w:rsid w:val="004302B6"/>
    <w:rsid w:val="00431EFE"/>
    <w:rsid w:val="00431FDA"/>
    <w:rsid w:val="004325EA"/>
    <w:rsid w:val="00432EA7"/>
    <w:rsid w:val="00433380"/>
    <w:rsid w:val="004334B6"/>
    <w:rsid w:val="004335C7"/>
    <w:rsid w:val="00434454"/>
    <w:rsid w:val="0043480E"/>
    <w:rsid w:val="00434888"/>
    <w:rsid w:val="004348CB"/>
    <w:rsid w:val="00435536"/>
    <w:rsid w:val="00435D2F"/>
    <w:rsid w:val="00435EAD"/>
    <w:rsid w:val="00435FEF"/>
    <w:rsid w:val="00436D43"/>
    <w:rsid w:val="00436F20"/>
    <w:rsid w:val="00437752"/>
    <w:rsid w:val="00437BF4"/>
    <w:rsid w:val="004402C8"/>
    <w:rsid w:val="004407E6"/>
    <w:rsid w:val="00442291"/>
    <w:rsid w:val="00442309"/>
    <w:rsid w:val="004424F9"/>
    <w:rsid w:val="004425F5"/>
    <w:rsid w:val="00442CAD"/>
    <w:rsid w:val="00442DAD"/>
    <w:rsid w:val="0044350E"/>
    <w:rsid w:val="004437B8"/>
    <w:rsid w:val="00443803"/>
    <w:rsid w:val="00443951"/>
    <w:rsid w:val="004440D8"/>
    <w:rsid w:val="004441CE"/>
    <w:rsid w:val="00444570"/>
    <w:rsid w:val="00444D8E"/>
    <w:rsid w:val="004450EC"/>
    <w:rsid w:val="00445375"/>
    <w:rsid w:val="00445513"/>
    <w:rsid w:val="00445F2A"/>
    <w:rsid w:val="004475D4"/>
    <w:rsid w:val="00447C9E"/>
    <w:rsid w:val="00447E8C"/>
    <w:rsid w:val="00450242"/>
    <w:rsid w:val="004506EE"/>
    <w:rsid w:val="00450FFF"/>
    <w:rsid w:val="0045142A"/>
    <w:rsid w:val="0045153E"/>
    <w:rsid w:val="00451709"/>
    <w:rsid w:val="004518AC"/>
    <w:rsid w:val="0045240D"/>
    <w:rsid w:val="0045299E"/>
    <w:rsid w:val="00452A05"/>
    <w:rsid w:val="004531AD"/>
    <w:rsid w:val="004536CB"/>
    <w:rsid w:val="00453A78"/>
    <w:rsid w:val="00453BB9"/>
    <w:rsid w:val="00453CF0"/>
    <w:rsid w:val="00454807"/>
    <w:rsid w:val="00454A06"/>
    <w:rsid w:val="00454EF5"/>
    <w:rsid w:val="00454F6C"/>
    <w:rsid w:val="0045561E"/>
    <w:rsid w:val="00455B6F"/>
    <w:rsid w:val="004563C7"/>
    <w:rsid w:val="00457453"/>
    <w:rsid w:val="00460593"/>
    <w:rsid w:val="004608DD"/>
    <w:rsid w:val="00460B36"/>
    <w:rsid w:val="00460B5B"/>
    <w:rsid w:val="00460FE4"/>
    <w:rsid w:val="00461B15"/>
    <w:rsid w:val="00462061"/>
    <w:rsid w:val="00462845"/>
    <w:rsid w:val="00462BC3"/>
    <w:rsid w:val="0046388F"/>
    <w:rsid w:val="00463C43"/>
    <w:rsid w:val="0046516B"/>
    <w:rsid w:val="00465790"/>
    <w:rsid w:val="004659A8"/>
    <w:rsid w:val="00465E40"/>
    <w:rsid w:val="00465F6A"/>
    <w:rsid w:val="00466080"/>
    <w:rsid w:val="004661A4"/>
    <w:rsid w:val="00466DE6"/>
    <w:rsid w:val="00467197"/>
    <w:rsid w:val="00467747"/>
    <w:rsid w:val="004677C5"/>
    <w:rsid w:val="00467985"/>
    <w:rsid w:val="004705FF"/>
    <w:rsid w:val="004706D4"/>
    <w:rsid w:val="004711C2"/>
    <w:rsid w:val="0047123C"/>
    <w:rsid w:val="004713A2"/>
    <w:rsid w:val="00471B9D"/>
    <w:rsid w:val="00471EB1"/>
    <w:rsid w:val="00472378"/>
    <w:rsid w:val="00472D43"/>
    <w:rsid w:val="00472EF0"/>
    <w:rsid w:val="004739A2"/>
    <w:rsid w:val="00473D68"/>
    <w:rsid w:val="00473E9E"/>
    <w:rsid w:val="004746D6"/>
    <w:rsid w:val="00474BE0"/>
    <w:rsid w:val="0047548A"/>
    <w:rsid w:val="0047701A"/>
    <w:rsid w:val="004776A6"/>
    <w:rsid w:val="00477DC1"/>
    <w:rsid w:val="00477FAF"/>
    <w:rsid w:val="00480108"/>
    <w:rsid w:val="00480281"/>
    <w:rsid w:val="0048064E"/>
    <w:rsid w:val="004815C6"/>
    <w:rsid w:val="004815E5"/>
    <w:rsid w:val="00481719"/>
    <w:rsid w:val="00481F71"/>
    <w:rsid w:val="004820BE"/>
    <w:rsid w:val="00483255"/>
    <w:rsid w:val="004836E4"/>
    <w:rsid w:val="00483BE9"/>
    <w:rsid w:val="00484D0C"/>
    <w:rsid w:val="00485086"/>
    <w:rsid w:val="00485FD7"/>
    <w:rsid w:val="0048668E"/>
    <w:rsid w:val="00486780"/>
    <w:rsid w:val="004867EC"/>
    <w:rsid w:val="004878EC"/>
    <w:rsid w:val="00492439"/>
    <w:rsid w:val="00492735"/>
    <w:rsid w:val="00492BCF"/>
    <w:rsid w:val="004932CE"/>
    <w:rsid w:val="00493919"/>
    <w:rsid w:val="00493AF7"/>
    <w:rsid w:val="00493C31"/>
    <w:rsid w:val="00493DCB"/>
    <w:rsid w:val="00494696"/>
    <w:rsid w:val="004949E0"/>
    <w:rsid w:val="00494E44"/>
    <w:rsid w:val="0049502B"/>
    <w:rsid w:val="00495D41"/>
    <w:rsid w:val="00496828"/>
    <w:rsid w:val="00496C7F"/>
    <w:rsid w:val="00496D07"/>
    <w:rsid w:val="00497290"/>
    <w:rsid w:val="00497C91"/>
    <w:rsid w:val="00497E78"/>
    <w:rsid w:val="004A0917"/>
    <w:rsid w:val="004A1521"/>
    <w:rsid w:val="004A26BB"/>
    <w:rsid w:val="004A2BED"/>
    <w:rsid w:val="004A3A4B"/>
    <w:rsid w:val="004A40A0"/>
    <w:rsid w:val="004A4982"/>
    <w:rsid w:val="004A5139"/>
    <w:rsid w:val="004A5B66"/>
    <w:rsid w:val="004A7003"/>
    <w:rsid w:val="004A7048"/>
    <w:rsid w:val="004A74BE"/>
    <w:rsid w:val="004A74F6"/>
    <w:rsid w:val="004A7A47"/>
    <w:rsid w:val="004A7E63"/>
    <w:rsid w:val="004B013C"/>
    <w:rsid w:val="004B019D"/>
    <w:rsid w:val="004B1786"/>
    <w:rsid w:val="004B1948"/>
    <w:rsid w:val="004B203F"/>
    <w:rsid w:val="004B22F9"/>
    <w:rsid w:val="004B238A"/>
    <w:rsid w:val="004B2AA5"/>
    <w:rsid w:val="004B2FAB"/>
    <w:rsid w:val="004B3FDC"/>
    <w:rsid w:val="004B43EA"/>
    <w:rsid w:val="004B4488"/>
    <w:rsid w:val="004B4BA1"/>
    <w:rsid w:val="004B4DB5"/>
    <w:rsid w:val="004B50F4"/>
    <w:rsid w:val="004B549F"/>
    <w:rsid w:val="004B5CBB"/>
    <w:rsid w:val="004B6141"/>
    <w:rsid w:val="004B6732"/>
    <w:rsid w:val="004B6942"/>
    <w:rsid w:val="004B6BCD"/>
    <w:rsid w:val="004B6D6A"/>
    <w:rsid w:val="004B6D7C"/>
    <w:rsid w:val="004B7489"/>
    <w:rsid w:val="004B74EA"/>
    <w:rsid w:val="004B754E"/>
    <w:rsid w:val="004B7A40"/>
    <w:rsid w:val="004B7F22"/>
    <w:rsid w:val="004C0085"/>
    <w:rsid w:val="004C0576"/>
    <w:rsid w:val="004C0C47"/>
    <w:rsid w:val="004C12DF"/>
    <w:rsid w:val="004C1304"/>
    <w:rsid w:val="004C1C00"/>
    <w:rsid w:val="004C1C4C"/>
    <w:rsid w:val="004C21FD"/>
    <w:rsid w:val="004C2DC0"/>
    <w:rsid w:val="004C3165"/>
    <w:rsid w:val="004C35D1"/>
    <w:rsid w:val="004C424E"/>
    <w:rsid w:val="004C46CC"/>
    <w:rsid w:val="004C4A10"/>
    <w:rsid w:val="004C4A4D"/>
    <w:rsid w:val="004C52EA"/>
    <w:rsid w:val="004C5396"/>
    <w:rsid w:val="004C5ACC"/>
    <w:rsid w:val="004C5CB8"/>
    <w:rsid w:val="004C5DDA"/>
    <w:rsid w:val="004C614E"/>
    <w:rsid w:val="004C642D"/>
    <w:rsid w:val="004C6752"/>
    <w:rsid w:val="004C6D4D"/>
    <w:rsid w:val="004C751E"/>
    <w:rsid w:val="004C76FF"/>
    <w:rsid w:val="004C7E5A"/>
    <w:rsid w:val="004D0120"/>
    <w:rsid w:val="004D0637"/>
    <w:rsid w:val="004D09FB"/>
    <w:rsid w:val="004D0B2F"/>
    <w:rsid w:val="004D11BB"/>
    <w:rsid w:val="004D19FF"/>
    <w:rsid w:val="004D1EC1"/>
    <w:rsid w:val="004D1F48"/>
    <w:rsid w:val="004D2575"/>
    <w:rsid w:val="004D3C62"/>
    <w:rsid w:val="004D3FB3"/>
    <w:rsid w:val="004D3FD8"/>
    <w:rsid w:val="004D42B9"/>
    <w:rsid w:val="004D437E"/>
    <w:rsid w:val="004D4CB5"/>
    <w:rsid w:val="004D52B3"/>
    <w:rsid w:val="004D572A"/>
    <w:rsid w:val="004D5753"/>
    <w:rsid w:val="004D5EC1"/>
    <w:rsid w:val="004D6739"/>
    <w:rsid w:val="004D71E1"/>
    <w:rsid w:val="004D7464"/>
    <w:rsid w:val="004E0309"/>
    <w:rsid w:val="004E0A1E"/>
    <w:rsid w:val="004E139B"/>
    <w:rsid w:val="004E1657"/>
    <w:rsid w:val="004E1D18"/>
    <w:rsid w:val="004E205F"/>
    <w:rsid w:val="004E2A4A"/>
    <w:rsid w:val="004E31B4"/>
    <w:rsid w:val="004E3A30"/>
    <w:rsid w:val="004E40BF"/>
    <w:rsid w:val="004E4AF1"/>
    <w:rsid w:val="004E5A84"/>
    <w:rsid w:val="004E5F4D"/>
    <w:rsid w:val="004E65EE"/>
    <w:rsid w:val="004E66F1"/>
    <w:rsid w:val="004E7262"/>
    <w:rsid w:val="004E757C"/>
    <w:rsid w:val="004E7AFE"/>
    <w:rsid w:val="004E7B84"/>
    <w:rsid w:val="004F01DE"/>
    <w:rsid w:val="004F0851"/>
    <w:rsid w:val="004F0954"/>
    <w:rsid w:val="004F0D4E"/>
    <w:rsid w:val="004F0D63"/>
    <w:rsid w:val="004F11BC"/>
    <w:rsid w:val="004F15F9"/>
    <w:rsid w:val="004F1DD1"/>
    <w:rsid w:val="004F2384"/>
    <w:rsid w:val="004F2635"/>
    <w:rsid w:val="004F2B16"/>
    <w:rsid w:val="004F2F87"/>
    <w:rsid w:val="004F33DF"/>
    <w:rsid w:val="004F3C31"/>
    <w:rsid w:val="004F3C53"/>
    <w:rsid w:val="004F507C"/>
    <w:rsid w:val="004F6957"/>
    <w:rsid w:val="004F78BD"/>
    <w:rsid w:val="004F7E55"/>
    <w:rsid w:val="0050023D"/>
    <w:rsid w:val="005004E8"/>
    <w:rsid w:val="0050091F"/>
    <w:rsid w:val="00500D29"/>
    <w:rsid w:val="00501ADD"/>
    <w:rsid w:val="00501D81"/>
    <w:rsid w:val="0050229C"/>
    <w:rsid w:val="005023D9"/>
    <w:rsid w:val="00502998"/>
    <w:rsid w:val="00502C28"/>
    <w:rsid w:val="00502F1F"/>
    <w:rsid w:val="00502FA0"/>
    <w:rsid w:val="00503099"/>
    <w:rsid w:val="00503148"/>
    <w:rsid w:val="00503243"/>
    <w:rsid w:val="00504E16"/>
    <w:rsid w:val="00505AEC"/>
    <w:rsid w:val="005061B0"/>
    <w:rsid w:val="005069B9"/>
    <w:rsid w:val="00507EFF"/>
    <w:rsid w:val="005101B1"/>
    <w:rsid w:val="0051077B"/>
    <w:rsid w:val="00510895"/>
    <w:rsid w:val="00510A3B"/>
    <w:rsid w:val="00510CBC"/>
    <w:rsid w:val="00510F63"/>
    <w:rsid w:val="005112D3"/>
    <w:rsid w:val="00511952"/>
    <w:rsid w:val="00513439"/>
    <w:rsid w:val="00513BD4"/>
    <w:rsid w:val="00513BE6"/>
    <w:rsid w:val="00513E0E"/>
    <w:rsid w:val="00513E56"/>
    <w:rsid w:val="00514582"/>
    <w:rsid w:val="00514DED"/>
    <w:rsid w:val="00515353"/>
    <w:rsid w:val="00515968"/>
    <w:rsid w:val="00515D23"/>
    <w:rsid w:val="00515EAC"/>
    <w:rsid w:val="0051639B"/>
    <w:rsid w:val="00516E25"/>
    <w:rsid w:val="0051793C"/>
    <w:rsid w:val="00517AAA"/>
    <w:rsid w:val="00517D5E"/>
    <w:rsid w:val="00517F46"/>
    <w:rsid w:val="00520404"/>
    <w:rsid w:val="0052045D"/>
    <w:rsid w:val="00520A77"/>
    <w:rsid w:val="00520CD9"/>
    <w:rsid w:val="00520D2B"/>
    <w:rsid w:val="00520F13"/>
    <w:rsid w:val="00521468"/>
    <w:rsid w:val="00521CEF"/>
    <w:rsid w:val="00521EC6"/>
    <w:rsid w:val="005232C4"/>
    <w:rsid w:val="00523A4F"/>
    <w:rsid w:val="0052409C"/>
    <w:rsid w:val="00524385"/>
    <w:rsid w:val="00524E56"/>
    <w:rsid w:val="00525102"/>
    <w:rsid w:val="005251BA"/>
    <w:rsid w:val="00525BDE"/>
    <w:rsid w:val="00526117"/>
    <w:rsid w:val="00526F8B"/>
    <w:rsid w:val="005271B4"/>
    <w:rsid w:val="00527BE2"/>
    <w:rsid w:val="00531163"/>
    <w:rsid w:val="00531222"/>
    <w:rsid w:val="0053288A"/>
    <w:rsid w:val="00532936"/>
    <w:rsid w:val="00533407"/>
    <w:rsid w:val="005339F0"/>
    <w:rsid w:val="00533FAA"/>
    <w:rsid w:val="00534F47"/>
    <w:rsid w:val="0053534B"/>
    <w:rsid w:val="005361D5"/>
    <w:rsid w:val="00536584"/>
    <w:rsid w:val="0053666C"/>
    <w:rsid w:val="005366B9"/>
    <w:rsid w:val="00536701"/>
    <w:rsid w:val="00536C23"/>
    <w:rsid w:val="00536D57"/>
    <w:rsid w:val="0053738F"/>
    <w:rsid w:val="005403D1"/>
    <w:rsid w:val="005405E1"/>
    <w:rsid w:val="005406C3"/>
    <w:rsid w:val="0054088F"/>
    <w:rsid w:val="00540E58"/>
    <w:rsid w:val="00541279"/>
    <w:rsid w:val="005413BF"/>
    <w:rsid w:val="0054149B"/>
    <w:rsid w:val="00541B26"/>
    <w:rsid w:val="00541CE7"/>
    <w:rsid w:val="005424D8"/>
    <w:rsid w:val="00542845"/>
    <w:rsid w:val="00542C81"/>
    <w:rsid w:val="00543074"/>
    <w:rsid w:val="005430C4"/>
    <w:rsid w:val="00543102"/>
    <w:rsid w:val="005444B1"/>
    <w:rsid w:val="0054456B"/>
    <w:rsid w:val="0054456E"/>
    <w:rsid w:val="00545B46"/>
    <w:rsid w:val="00545B9D"/>
    <w:rsid w:val="00546CE6"/>
    <w:rsid w:val="005477A3"/>
    <w:rsid w:val="00547889"/>
    <w:rsid w:val="00547DEB"/>
    <w:rsid w:val="00550036"/>
    <w:rsid w:val="00550582"/>
    <w:rsid w:val="00550881"/>
    <w:rsid w:val="00550CB0"/>
    <w:rsid w:val="00551295"/>
    <w:rsid w:val="00551628"/>
    <w:rsid w:val="00551F15"/>
    <w:rsid w:val="005528D7"/>
    <w:rsid w:val="00552E83"/>
    <w:rsid w:val="0055395E"/>
    <w:rsid w:val="00553C47"/>
    <w:rsid w:val="00554356"/>
    <w:rsid w:val="00554494"/>
    <w:rsid w:val="005546CC"/>
    <w:rsid w:val="00554BC2"/>
    <w:rsid w:val="00554F2C"/>
    <w:rsid w:val="0055505A"/>
    <w:rsid w:val="005551D8"/>
    <w:rsid w:val="00555700"/>
    <w:rsid w:val="00555B0E"/>
    <w:rsid w:val="00555E72"/>
    <w:rsid w:val="005568A6"/>
    <w:rsid w:val="00557890"/>
    <w:rsid w:val="005600CE"/>
    <w:rsid w:val="00560281"/>
    <w:rsid w:val="005602BB"/>
    <w:rsid w:val="00560440"/>
    <w:rsid w:val="00560A96"/>
    <w:rsid w:val="005624C8"/>
    <w:rsid w:val="005626BD"/>
    <w:rsid w:val="0056305E"/>
    <w:rsid w:val="005632E1"/>
    <w:rsid w:val="00563313"/>
    <w:rsid w:val="0056359B"/>
    <w:rsid w:val="00563774"/>
    <w:rsid w:val="00564859"/>
    <w:rsid w:val="00564C78"/>
    <w:rsid w:val="00564DE0"/>
    <w:rsid w:val="00564E64"/>
    <w:rsid w:val="00564F9F"/>
    <w:rsid w:val="00565188"/>
    <w:rsid w:val="00565419"/>
    <w:rsid w:val="005654BE"/>
    <w:rsid w:val="00565715"/>
    <w:rsid w:val="00565D66"/>
    <w:rsid w:val="005668AE"/>
    <w:rsid w:val="005671B0"/>
    <w:rsid w:val="005672A5"/>
    <w:rsid w:val="005674EB"/>
    <w:rsid w:val="0057033B"/>
    <w:rsid w:val="00570F79"/>
    <w:rsid w:val="00571660"/>
    <w:rsid w:val="00571AC0"/>
    <w:rsid w:val="005724D0"/>
    <w:rsid w:val="00572AB2"/>
    <w:rsid w:val="00572B27"/>
    <w:rsid w:val="00572B73"/>
    <w:rsid w:val="00572DEF"/>
    <w:rsid w:val="00572F42"/>
    <w:rsid w:val="00573333"/>
    <w:rsid w:val="00573673"/>
    <w:rsid w:val="00573DDC"/>
    <w:rsid w:val="00574799"/>
    <w:rsid w:val="005748A2"/>
    <w:rsid w:val="00574C5F"/>
    <w:rsid w:val="005750D0"/>
    <w:rsid w:val="005752EC"/>
    <w:rsid w:val="00575319"/>
    <w:rsid w:val="0057532D"/>
    <w:rsid w:val="00575982"/>
    <w:rsid w:val="005759AE"/>
    <w:rsid w:val="00576457"/>
    <w:rsid w:val="00576526"/>
    <w:rsid w:val="00576EDC"/>
    <w:rsid w:val="00577770"/>
    <w:rsid w:val="005801CE"/>
    <w:rsid w:val="00580326"/>
    <w:rsid w:val="005812A1"/>
    <w:rsid w:val="00582AB1"/>
    <w:rsid w:val="0058305A"/>
    <w:rsid w:val="005833C9"/>
    <w:rsid w:val="00583680"/>
    <w:rsid w:val="00583684"/>
    <w:rsid w:val="00583ACF"/>
    <w:rsid w:val="00583E26"/>
    <w:rsid w:val="005845C8"/>
    <w:rsid w:val="00584C72"/>
    <w:rsid w:val="00584DF6"/>
    <w:rsid w:val="00585356"/>
    <w:rsid w:val="00585B99"/>
    <w:rsid w:val="005864B5"/>
    <w:rsid w:val="0058689D"/>
    <w:rsid w:val="00586D04"/>
    <w:rsid w:val="005877CE"/>
    <w:rsid w:val="0058792E"/>
    <w:rsid w:val="00587F3E"/>
    <w:rsid w:val="005900A9"/>
    <w:rsid w:val="00590218"/>
    <w:rsid w:val="00590500"/>
    <w:rsid w:val="00590954"/>
    <w:rsid w:val="005911D1"/>
    <w:rsid w:val="005916FB"/>
    <w:rsid w:val="00591787"/>
    <w:rsid w:val="00593796"/>
    <w:rsid w:val="00594931"/>
    <w:rsid w:val="00594955"/>
    <w:rsid w:val="00595AA2"/>
    <w:rsid w:val="00595B14"/>
    <w:rsid w:val="00595D32"/>
    <w:rsid w:val="00595FB3"/>
    <w:rsid w:val="005960D2"/>
    <w:rsid w:val="00596360"/>
    <w:rsid w:val="00596C2F"/>
    <w:rsid w:val="00597512"/>
    <w:rsid w:val="005A001C"/>
    <w:rsid w:val="005A025B"/>
    <w:rsid w:val="005A034D"/>
    <w:rsid w:val="005A04D5"/>
    <w:rsid w:val="005A13D6"/>
    <w:rsid w:val="005A256C"/>
    <w:rsid w:val="005A30AF"/>
    <w:rsid w:val="005A36B6"/>
    <w:rsid w:val="005A395C"/>
    <w:rsid w:val="005A3FB4"/>
    <w:rsid w:val="005A3FDA"/>
    <w:rsid w:val="005A4426"/>
    <w:rsid w:val="005A4AE3"/>
    <w:rsid w:val="005A563A"/>
    <w:rsid w:val="005A59F8"/>
    <w:rsid w:val="005A5CF7"/>
    <w:rsid w:val="005A71DA"/>
    <w:rsid w:val="005A749E"/>
    <w:rsid w:val="005A7B6A"/>
    <w:rsid w:val="005A7F3F"/>
    <w:rsid w:val="005B041B"/>
    <w:rsid w:val="005B04B0"/>
    <w:rsid w:val="005B12F4"/>
    <w:rsid w:val="005B13A7"/>
    <w:rsid w:val="005B158D"/>
    <w:rsid w:val="005B1B5F"/>
    <w:rsid w:val="005B2853"/>
    <w:rsid w:val="005B2DCB"/>
    <w:rsid w:val="005B39B9"/>
    <w:rsid w:val="005B4B18"/>
    <w:rsid w:val="005B4EE2"/>
    <w:rsid w:val="005B561A"/>
    <w:rsid w:val="005B5D74"/>
    <w:rsid w:val="005B64FD"/>
    <w:rsid w:val="005B6B1F"/>
    <w:rsid w:val="005B6B9C"/>
    <w:rsid w:val="005B728C"/>
    <w:rsid w:val="005B770C"/>
    <w:rsid w:val="005B7BF5"/>
    <w:rsid w:val="005B7CC2"/>
    <w:rsid w:val="005C02BF"/>
    <w:rsid w:val="005C055C"/>
    <w:rsid w:val="005C0827"/>
    <w:rsid w:val="005C0F89"/>
    <w:rsid w:val="005C2139"/>
    <w:rsid w:val="005C2CAA"/>
    <w:rsid w:val="005C3514"/>
    <w:rsid w:val="005C3714"/>
    <w:rsid w:val="005C3857"/>
    <w:rsid w:val="005C3E6E"/>
    <w:rsid w:val="005C5F89"/>
    <w:rsid w:val="005C5FE4"/>
    <w:rsid w:val="005C6040"/>
    <w:rsid w:val="005C6175"/>
    <w:rsid w:val="005C6303"/>
    <w:rsid w:val="005C63C9"/>
    <w:rsid w:val="005C68C9"/>
    <w:rsid w:val="005C6D19"/>
    <w:rsid w:val="005C73ED"/>
    <w:rsid w:val="005C76A5"/>
    <w:rsid w:val="005D081E"/>
    <w:rsid w:val="005D105E"/>
    <w:rsid w:val="005D1BCD"/>
    <w:rsid w:val="005D2FA8"/>
    <w:rsid w:val="005D31B2"/>
    <w:rsid w:val="005D497E"/>
    <w:rsid w:val="005D586D"/>
    <w:rsid w:val="005D58FE"/>
    <w:rsid w:val="005D67F7"/>
    <w:rsid w:val="005D6FE3"/>
    <w:rsid w:val="005D75CE"/>
    <w:rsid w:val="005E02D3"/>
    <w:rsid w:val="005E0C02"/>
    <w:rsid w:val="005E0D2C"/>
    <w:rsid w:val="005E10D6"/>
    <w:rsid w:val="005E12FD"/>
    <w:rsid w:val="005E17C8"/>
    <w:rsid w:val="005E1835"/>
    <w:rsid w:val="005E1A37"/>
    <w:rsid w:val="005E1DCA"/>
    <w:rsid w:val="005E23BB"/>
    <w:rsid w:val="005E2BAA"/>
    <w:rsid w:val="005E308F"/>
    <w:rsid w:val="005E3590"/>
    <w:rsid w:val="005E3933"/>
    <w:rsid w:val="005E3F25"/>
    <w:rsid w:val="005E498A"/>
    <w:rsid w:val="005E521B"/>
    <w:rsid w:val="005E5443"/>
    <w:rsid w:val="005E559F"/>
    <w:rsid w:val="005E58D8"/>
    <w:rsid w:val="005E5DEF"/>
    <w:rsid w:val="005E6BC7"/>
    <w:rsid w:val="005E78C0"/>
    <w:rsid w:val="005F0488"/>
    <w:rsid w:val="005F05C7"/>
    <w:rsid w:val="005F084E"/>
    <w:rsid w:val="005F0E90"/>
    <w:rsid w:val="005F0E9D"/>
    <w:rsid w:val="005F1037"/>
    <w:rsid w:val="005F1248"/>
    <w:rsid w:val="005F1695"/>
    <w:rsid w:val="005F1A8B"/>
    <w:rsid w:val="005F206B"/>
    <w:rsid w:val="005F2732"/>
    <w:rsid w:val="005F2A56"/>
    <w:rsid w:val="005F37F6"/>
    <w:rsid w:val="005F3939"/>
    <w:rsid w:val="005F3E04"/>
    <w:rsid w:val="005F3E62"/>
    <w:rsid w:val="005F4819"/>
    <w:rsid w:val="005F49DE"/>
    <w:rsid w:val="005F4C72"/>
    <w:rsid w:val="005F5396"/>
    <w:rsid w:val="005F5511"/>
    <w:rsid w:val="005F5888"/>
    <w:rsid w:val="005F6FEE"/>
    <w:rsid w:val="005F71B8"/>
    <w:rsid w:val="005F75D6"/>
    <w:rsid w:val="005F7A69"/>
    <w:rsid w:val="005F7BA0"/>
    <w:rsid w:val="00600C13"/>
    <w:rsid w:val="00600D7C"/>
    <w:rsid w:val="0060131F"/>
    <w:rsid w:val="00601E63"/>
    <w:rsid w:val="00602009"/>
    <w:rsid w:val="00602027"/>
    <w:rsid w:val="0060225B"/>
    <w:rsid w:val="006022D8"/>
    <w:rsid w:val="00602383"/>
    <w:rsid w:val="00602D37"/>
    <w:rsid w:val="00602E87"/>
    <w:rsid w:val="00603397"/>
    <w:rsid w:val="006039DF"/>
    <w:rsid w:val="00604614"/>
    <w:rsid w:val="00604937"/>
    <w:rsid w:val="00604A67"/>
    <w:rsid w:val="006055D7"/>
    <w:rsid w:val="00605655"/>
    <w:rsid w:val="006059F8"/>
    <w:rsid w:val="00605B6A"/>
    <w:rsid w:val="00605D8B"/>
    <w:rsid w:val="00605F45"/>
    <w:rsid w:val="006063FA"/>
    <w:rsid w:val="006067DD"/>
    <w:rsid w:val="00606A7F"/>
    <w:rsid w:val="0060715C"/>
    <w:rsid w:val="0060731C"/>
    <w:rsid w:val="006078BA"/>
    <w:rsid w:val="00607958"/>
    <w:rsid w:val="00607A2B"/>
    <w:rsid w:val="00607CDA"/>
    <w:rsid w:val="0061009C"/>
    <w:rsid w:val="00610D61"/>
    <w:rsid w:val="0061167E"/>
    <w:rsid w:val="00612571"/>
    <w:rsid w:val="006126CB"/>
    <w:rsid w:val="00612C64"/>
    <w:rsid w:val="00613122"/>
    <w:rsid w:val="00613209"/>
    <w:rsid w:val="006132CD"/>
    <w:rsid w:val="00613631"/>
    <w:rsid w:val="00614795"/>
    <w:rsid w:val="00614EB1"/>
    <w:rsid w:val="00615020"/>
    <w:rsid w:val="006154F4"/>
    <w:rsid w:val="00616018"/>
    <w:rsid w:val="00616A15"/>
    <w:rsid w:val="00617DE4"/>
    <w:rsid w:val="00617F68"/>
    <w:rsid w:val="006200BD"/>
    <w:rsid w:val="0062080C"/>
    <w:rsid w:val="00620FBA"/>
    <w:rsid w:val="00621435"/>
    <w:rsid w:val="00621B78"/>
    <w:rsid w:val="00621B9C"/>
    <w:rsid w:val="00621C7D"/>
    <w:rsid w:val="00621C9A"/>
    <w:rsid w:val="00621CBD"/>
    <w:rsid w:val="00621D89"/>
    <w:rsid w:val="006222F2"/>
    <w:rsid w:val="00622883"/>
    <w:rsid w:val="00622CF5"/>
    <w:rsid w:val="00623EB9"/>
    <w:rsid w:val="006242A0"/>
    <w:rsid w:val="00624CE2"/>
    <w:rsid w:val="00625098"/>
    <w:rsid w:val="006258C0"/>
    <w:rsid w:val="00625983"/>
    <w:rsid w:val="00625CB0"/>
    <w:rsid w:val="006261BC"/>
    <w:rsid w:val="0062677F"/>
    <w:rsid w:val="00626FAC"/>
    <w:rsid w:val="00627013"/>
    <w:rsid w:val="00627E18"/>
    <w:rsid w:val="00627F8F"/>
    <w:rsid w:val="00630610"/>
    <w:rsid w:val="0063078E"/>
    <w:rsid w:val="0063079E"/>
    <w:rsid w:val="0063090B"/>
    <w:rsid w:val="00630A73"/>
    <w:rsid w:val="00630A93"/>
    <w:rsid w:val="0063151F"/>
    <w:rsid w:val="00631615"/>
    <w:rsid w:val="006326CE"/>
    <w:rsid w:val="0063274B"/>
    <w:rsid w:val="00632DBA"/>
    <w:rsid w:val="0063388E"/>
    <w:rsid w:val="00633B03"/>
    <w:rsid w:val="00633B4D"/>
    <w:rsid w:val="00633C71"/>
    <w:rsid w:val="00634363"/>
    <w:rsid w:val="00634469"/>
    <w:rsid w:val="0063504A"/>
    <w:rsid w:val="006352EC"/>
    <w:rsid w:val="0063536D"/>
    <w:rsid w:val="00635713"/>
    <w:rsid w:val="006357E8"/>
    <w:rsid w:val="00636922"/>
    <w:rsid w:val="00636BEC"/>
    <w:rsid w:val="00636FAC"/>
    <w:rsid w:val="00637618"/>
    <w:rsid w:val="0063769C"/>
    <w:rsid w:val="00637865"/>
    <w:rsid w:val="006400BB"/>
    <w:rsid w:val="0064036F"/>
    <w:rsid w:val="006403B5"/>
    <w:rsid w:val="00640AB9"/>
    <w:rsid w:val="00640ADB"/>
    <w:rsid w:val="00640D4A"/>
    <w:rsid w:val="006428C5"/>
    <w:rsid w:val="00642C55"/>
    <w:rsid w:val="0064304B"/>
    <w:rsid w:val="00643B0B"/>
    <w:rsid w:val="00643F4A"/>
    <w:rsid w:val="0064487B"/>
    <w:rsid w:val="00645319"/>
    <w:rsid w:val="00645600"/>
    <w:rsid w:val="00645B5E"/>
    <w:rsid w:val="00645DB3"/>
    <w:rsid w:val="00646701"/>
    <w:rsid w:val="00646932"/>
    <w:rsid w:val="00646AC0"/>
    <w:rsid w:val="00647150"/>
    <w:rsid w:val="00647383"/>
    <w:rsid w:val="006477D2"/>
    <w:rsid w:val="00650415"/>
    <w:rsid w:val="00650A17"/>
    <w:rsid w:val="00650A45"/>
    <w:rsid w:val="0065134E"/>
    <w:rsid w:val="00651631"/>
    <w:rsid w:val="00651718"/>
    <w:rsid w:val="00651F1C"/>
    <w:rsid w:val="00652C4A"/>
    <w:rsid w:val="00653014"/>
    <w:rsid w:val="00653512"/>
    <w:rsid w:val="00653BF8"/>
    <w:rsid w:val="00654D2C"/>
    <w:rsid w:val="00655491"/>
    <w:rsid w:val="0065564B"/>
    <w:rsid w:val="0065569F"/>
    <w:rsid w:val="00655EAB"/>
    <w:rsid w:val="00656223"/>
    <w:rsid w:val="00656966"/>
    <w:rsid w:val="00656A8B"/>
    <w:rsid w:val="00656FA9"/>
    <w:rsid w:val="00657147"/>
    <w:rsid w:val="00657275"/>
    <w:rsid w:val="006572E2"/>
    <w:rsid w:val="006578E6"/>
    <w:rsid w:val="00657D55"/>
    <w:rsid w:val="00657DB9"/>
    <w:rsid w:val="00657E03"/>
    <w:rsid w:val="0066081E"/>
    <w:rsid w:val="00660CD1"/>
    <w:rsid w:val="00660F85"/>
    <w:rsid w:val="006614F8"/>
    <w:rsid w:val="00661859"/>
    <w:rsid w:val="00661B80"/>
    <w:rsid w:val="00662637"/>
    <w:rsid w:val="006626B3"/>
    <w:rsid w:val="00662F9B"/>
    <w:rsid w:val="006634C2"/>
    <w:rsid w:val="0066396C"/>
    <w:rsid w:val="00663EEF"/>
    <w:rsid w:val="006647CE"/>
    <w:rsid w:val="00664829"/>
    <w:rsid w:val="00664B79"/>
    <w:rsid w:val="00664FF9"/>
    <w:rsid w:val="006650C5"/>
    <w:rsid w:val="0066562E"/>
    <w:rsid w:val="00667084"/>
    <w:rsid w:val="006670D8"/>
    <w:rsid w:val="00667D2A"/>
    <w:rsid w:val="00667F7B"/>
    <w:rsid w:val="00670BD0"/>
    <w:rsid w:val="00670C57"/>
    <w:rsid w:val="00670D31"/>
    <w:rsid w:val="00671C92"/>
    <w:rsid w:val="00671D79"/>
    <w:rsid w:val="00672DCD"/>
    <w:rsid w:val="00673480"/>
    <w:rsid w:val="0067349F"/>
    <w:rsid w:val="0067383D"/>
    <w:rsid w:val="00673B31"/>
    <w:rsid w:val="00673C58"/>
    <w:rsid w:val="0067435B"/>
    <w:rsid w:val="00674835"/>
    <w:rsid w:val="0067549F"/>
    <w:rsid w:val="006759C0"/>
    <w:rsid w:val="0067620E"/>
    <w:rsid w:val="006769D3"/>
    <w:rsid w:val="00677587"/>
    <w:rsid w:val="00677CC3"/>
    <w:rsid w:val="00680091"/>
    <w:rsid w:val="00680A65"/>
    <w:rsid w:val="006816B0"/>
    <w:rsid w:val="00682FB8"/>
    <w:rsid w:val="0068364A"/>
    <w:rsid w:val="0068376B"/>
    <w:rsid w:val="00683F9D"/>
    <w:rsid w:val="0068412D"/>
    <w:rsid w:val="0068429E"/>
    <w:rsid w:val="00684774"/>
    <w:rsid w:val="00684CBF"/>
    <w:rsid w:val="00684E2C"/>
    <w:rsid w:val="006852F5"/>
    <w:rsid w:val="0068562C"/>
    <w:rsid w:val="00685BD8"/>
    <w:rsid w:val="00685DB9"/>
    <w:rsid w:val="00685F49"/>
    <w:rsid w:val="00686357"/>
    <w:rsid w:val="006863AD"/>
    <w:rsid w:val="0068707C"/>
    <w:rsid w:val="00687693"/>
    <w:rsid w:val="00687783"/>
    <w:rsid w:val="00687902"/>
    <w:rsid w:val="006903F3"/>
    <w:rsid w:val="006904BB"/>
    <w:rsid w:val="00690798"/>
    <w:rsid w:val="00690E37"/>
    <w:rsid w:val="00690F71"/>
    <w:rsid w:val="00691F1F"/>
    <w:rsid w:val="006923FF"/>
    <w:rsid w:val="0069243C"/>
    <w:rsid w:val="00692BD4"/>
    <w:rsid w:val="00694416"/>
    <w:rsid w:val="00694F15"/>
    <w:rsid w:val="0069513F"/>
    <w:rsid w:val="0069604F"/>
    <w:rsid w:val="00697510"/>
    <w:rsid w:val="006A0EDD"/>
    <w:rsid w:val="006A14FA"/>
    <w:rsid w:val="006A2108"/>
    <w:rsid w:val="006A2AA3"/>
    <w:rsid w:val="006A2B45"/>
    <w:rsid w:val="006A3180"/>
    <w:rsid w:val="006A34DC"/>
    <w:rsid w:val="006A351D"/>
    <w:rsid w:val="006A4253"/>
    <w:rsid w:val="006A5479"/>
    <w:rsid w:val="006A560C"/>
    <w:rsid w:val="006A5AE9"/>
    <w:rsid w:val="006A7078"/>
    <w:rsid w:val="006A7764"/>
    <w:rsid w:val="006A7A97"/>
    <w:rsid w:val="006A7EC7"/>
    <w:rsid w:val="006B0148"/>
    <w:rsid w:val="006B1A1A"/>
    <w:rsid w:val="006B234D"/>
    <w:rsid w:val="006B24A1"/>
    <w:rsid w:val="006B2B1D"/>
    <w:rsid w:val="006B314D"/>
    <w:rsid w:val="006B3437"/>
    <w:rsid w:val="006B349D"/>
    <w:rsid w:val="006B35E2"/>
    <w:rsid w:val="006B3E2C"/>
    <w:rsid w:val="006B425D"/>
    <w:rsid w:val="006B4F28"/>
    <w:rsid w:val="006B4F4B"/>
    <w:rsid w:val="006B528F"/>
    <w:rsid w:val="006B5E0F"/>
    <w:rsid w:val="006C08E5"/>
    <w:rsid w:val="006C12C5"/>
    <w:rsid w:val="006C1334"/>
    <w:rsid w:val="006C13A3"/>
    <w:rsid w:val="006C1691"/>
    <w:rsid w:val="006C1FF1"/>
    <w:rsid w:val="006C2090"/>
    <w:rsid w:val="006C276D"/>
    <w:rsid w:val="006C2D9E"/>
    <w:rsid w:val="006C2E60"/>
    <w:rsid w:val="006C2ED6"/>
    <w:rsid w:val="006C2F71"/>
    <w:rsid w:val="006C35C1"/>
    <w:rsid w:val="006C3771"/>
    <w:rsid w:val="006C46F8"/>
    <w:rsid w:val="006C4A79"/>
    <w:rsid w:val="006C55A4"/>
    <w:rsid w:val="006C57AE"/>
    <w:rsid w:val="006C57BD"/>
    <w:rsid w:val="006C6A02"/>
    <w:rsid w:val="006C6D31"/>
    <w:rsid w:val="006C73DB"/>
    <w:rsid w:val="006C7930"/>
    <w:rsid w:val="006D0729"/>
    <w:rsid w:val="006D0EB3"/>
    <w:rsid w:val="006D2754"/>
    <w:rsid w:val="006D27A1"/>
    <w:rsid w:val="006D2C36"/>
    <w:rsid w:val="006D2CE3"/>
    <w:rsid w:val="006D2E0E"/>
    <w:rsid w:val="006D35BC"/>
    <w:rsid w:val="006D3AF7"/>
    <w:rsid w:val="006D4215"/>
    <w:rsid w:val="006D4417"/>
    <w:rsid w:val="006D44EF"/>
    <w:rsid w:val="006D4624"/>
    <w:rsid w:val="006D46E6"/>
    <w:rsid w:val="006D494C"/>
    <w:rsid w:val="006D5176"/>
    <w:rsid w:val="006D5246"/>
    <w:rsid w:val="006D573E"/>
    <w:rsid w:val="006D5E44"/>
    <w:rsid w:val="006D61A6"/>
    <w:rsid w:val="006D7087"/>
    <w:rsid w:val="006D730E"/>
    <w:rsid w:val="006D74ED"/>
    <w:rsid w:val="006D7B3A"/>
    <w:rsid w:val="006D7B8B"/>
    <w:rsid w:val="006D7B9B"/>
    <w:rsid w:val="006D7CDA"/>
    <w:rsid w:val="006E0682"/>
    <w:rsid w:val="006E0707"/>
    <w:rsid w:val="006E078C"/>
    <w:rsid w:val="006E087A"/>
    <w:rsid w:val="006E0979"/>
    <w:rsid w:val="006E0A30"/>
    <w:rsid w:val="006E0AAC"/>
    <w:rsid w:val="006E1533"/>
    <w:rsid w:val="006E1C76"/>
    <w:rsid w:val="006E1CC3"/>
    <w:rsid w:val="006E20AD"/>
    <w:rsid w:val="006E20D6"/>
    <w:rsid w:val="006E2153"/>
    <w:rsid w:val="006E2494"/>
    <w:rsid w:val="006E275F"/>
    <w:rsid w:val="006E33AE"/>
    <w:rsid w:val="006E351C"/>
    <w:rsid w:val="006E35A6"/>
    <w:rsid w:val="006E3663"/>
    <w:rsid w:val="006E36B2"/>
    <w:rsid w:val="006E428F"/>
    <w:rsid w:val="006E4814"/>
    <w:rsid w:val="006E5359"/>
    <w:rsid w:val="006E5EA2"/>
    <w:rsid w:val="006E6A01"/>
    <w:rsid w:val="006E6B50"/>
    <w:rsid w:val="006E6ECF"/>
    <w:rsid w:val="006E71DF"/>
    <w:rsid w:val="006E7F08"/>
    <w:rsid w:val="006F0539"/>
    <w:rsid w:val="006F06AD"/>
    <w:rsid w:val="006F1F83"/>
    <w:rsid w:val="006F2C6D"/>
    <w:rsid w:val="006F3215"/>
    <w:rsid w:val="006F4985"/>
    <w:rsid w:val="006F4B66"/>
    <w:rsid w:val="006F53B5"/>
    <w:rsid w:val="006F5570"/>
    <w:rsid w:val="006F5748"/>
    <w:rsid w:val="006F5ADD"/>
    <w:rsid w:val="006F6093"/>
    <w:rsid w:val="006F726B"/>
    <w:rsid w:val="006F7710"/>
    <w:rsid w:val="006F77EC"/>
    <w:rsid w:val="006F78D4"/>
    <w:rsid w:val="0070000F"/>
    <w:rsid w:val="0070029C"/>
    <w:rsid w:val="007009B3"/>
    <w:rsid w:val="00700E54"/>
    <w:rsid w:val="00701234"/>
    <w:rsid w:val="007015CC"/>
    <w:rsid w:val="00701A92"/>
    <w:rsid w:val="00701D7F"/>
    <w:rsid w:val="00702066"/>
    <w:rsid w:val="00702202"/>
    <w:rsid w:val="0070245E"/>
    <w:rsid w:val="00702507"/>
    <w:rsid w:val="007025A8"/>
    <w:rsid w:val="00702910"/>
    <w:rsid w:val="00702F54"/>
    <w:rsid w:val="007031B2"/>
    <w:rsid w:val="0070369D"/>
    <w:rsid w:val="00703B97"/>
    <w:rsid w:val="007042D0"/>
    <w:rsid w:val="007056D4"/>
    <w:rsid w:val="007058B7"/>
    <w:rsid w:val="00705C0E"/>
    <w:rsid w:val="00705D81"/>
    <w:rsid w:val="00706410"/>
    <w:rsid w:val="00706B60"/>
    <w:rsid w:val="00706E02"/>
    <w:rsid w:val="00706E2E"/>
    <w:rsid w:val="00706FBD"/>
    <w:rsid w:val="00707234"/>
    <w:rsid w:val="00707321"/>
    <w:rsid w:val="007073E5"/>
    <w:rsid w:val="00707417"/>
    <w:rsid w:val="00707B18"/>
    <w:rsid w:val="00707DB2"/>
    <w:rsid w:val="007107D3"/>
    <w:rsid w:val="00710886"/>
    <w:rsid w:val="00710DCB"/>
    <w:rsid w:val="007113F5"/>
    <w:rsid w:val="00711576"/>
    <w:rsid w:val="00712521"/>
    <w:rsid w:val="00712BCA"/>
    <w:rsid w:val="00712E77"/>
    <w:rsid w:val="007132DF"/>
    <w:rsid w:val="007133C5"/>
    <w:rsid w:val="007137EB"/>
    <w:rsid w:val="00713E5D"/>
    <w:rsid w:val="007146A3"/>
    <w:rsid w:val="00715C74"/>
    <w:rsid w:val="00715CD8"/>
    <w:rsid w:val="00715CFF"/>
    <w:rsid w:val="007165C2"/>
    <w:rsid w:val="00716804"/>
    <w:rsid w:val="0071691E"/>
    <w:rsid w:val="00716DC1"/>
    <w:rsid w:val="00716F33"/>
    <w:rsid w:val="00717158"/>
    <w:rsid w:val="007175DE"/>
    <w:rsid w:val="0071768A"/>
    <w:rsid w:val="00720963"/>
    <w:rsid w:val="0072142D"/>
    <w:rsid w:val="0072162E"/>
    <w:rsid w:val="007219D7"/>
    <w:rsid w:val="00721CF7"/>
    <w:rsid w:val="00722078"/>
    <w:rsid w:val="0072225F"/>
    <w:rsid w:val="00722579"/>
    <w:rsid w:val="007225ED"/>
    <w:rsid w:val="0072359D"/>
    <w:rsid w:val="00724549"/>
    <w:rsid w:val="0072474F"/>
    <w:rsid w:val="00724A9B"/>
    <w:rsid w:val="00724AF6"/>
    <w:rsid w:val="00724CC4"/>
    <w:rsid w:val="0072572E"/>
    <w:rsid w:val="0072574C"/>
    <w:rsid w:val="00725805"/>
    <w:rsid w:val="007258A7"/>
    <w:rsid w:val="00725C09"/>
    <w:rsid w:val="007260A0"/>
    <w:rsid w:val="007260D4"/>
    <w:rsid w:val="00727377"/>
    <w:rsid w:val="00727469"/>
    <w:rsid w:val="0072774F"/>
    <w:rsid w:val="00727DD9"/>
    <w:rsid w:val="00727E12"/>
    <w:rsid w:val="0073083B"/>
    <w:rsid w:val="00730BE8"/>
    <w:rsid w:val="00731215"/>
    <w:rsid w:val="00731409"/>
    <w:rsid w:val="0073190E"/>
    <w:rsid w:val="00731CB6"/>
    <w:rsid w:val="00731F20"/>
    <w:rsid w:val="00732579"/>
    <w:rsid w:val="00732618"/>
    <w:rsid w:val="0073298C"/>
    <w:rsid w:val="00733B31"/>
    <w:rsid w:val="00733D3D"/>
    <w:rsid w:val="00734910"/>
    <w:rsid w:val="00734C53"/>
    <w:rsid w:val="00735063"/>
    <w:rsid w:val="007355A3"/>
    <w:rsid w:val="007357BB"/>
    <w:rsid w:val="0073580B"/>
    <w:rsid w:val="00735884"/>
    <w:rsid w:val="00735E13"/>
    <w:rsid w:val="007363EB"/>
    <w:rsid w:val="00736A18"/>
    <w:rsid w:val="00736C29"/>
    <w:rsid w:val="00736F53"/>
    <w:rsid w:val="00736FDD"/>
    <w:rsid w:val="00737CEA"/>
    <w:rsid w:val="0074005B"/>
    <w:rsid w:val="0074014C"/>
    <w:rsid w:val="00740268"/>
    <w:rsid w:val="0074063E"/>
    <w:rsid w:val="00740968"/>
    <w:rsid w:val="00741400"/>
    <w:rsid w:val="007418B9"/>
    <w:rsid w:val="00741E47"/>
    <w:rsid w:val="00742A1C"/>
    <w:rsid w:val="00742A66"/>
    <w:rsid w:val="00742F76"/>
    <w:rsid w:val="00742F9D"/>
    <w:rsid w:val="0074334A"/>
    <w:rsid w:val="00743619"/>
    <w:rsid w:val="0074392A"/>
    <w:rsid w:val="007439B1"/>
    <w:rsid w:val="00743BF9"/>
    <w:rsid w:val="00743D09"/>
    <w:rsid w:val="0074406A"/>
    <w:rsid w:val="00744E78"/>
    <w:rsid w:val="00744F96"/>
    <w:rsid w:val="007450C4"/>
    <w:rsid w:val="00745EE2"/>
    <w:rsid w:val="00746DBE"/>
    <w:rsid w:val="00747176"/>
    <w:rsid w:val="0074743A"/>
    <w:rsid w:val="0075035B"/>
    <w:rsid w:val="00750377"/>
    <w:rsid w:val="00750A71"/>
    <w:rsid w:val="00750A74"/>
    <w:rsid w:val="00750BD9"/>
    <w:rsid w:val="0075110B"/>
    <w:rsid w:val="007516C7"/>
    <w:rsid w:val="007519B7"/>
    <w:rsid w:val="00751CF7"/>
    <w:rsid w:val="007526FE"/>
    <w:rsid w:val="0075392B"/>
    <w:rsid w:val="00753FB2"/>
    <w:rsid w:val="007551C1"/>
    <w:rsid w:val="00755CEB"/>
    <w:rsid w:val="00755F04"/>
    <w:rsid w:val="00756009"/>
    <w:rsid w:val="00756E38"/>
    <w:rsid w:val="00757515"/>
    <w:rsid w:val="0075760E"/>
    <w:rsid w:val="00757774"/>
    <w:rsid w:val="007579FE"/>
    <w:rsid w:val="00757ACF"/>
    <w:rsid w:val="00757D37"/>
    <w:rsid w:val="007602CF"/>
    <w:rsid w:val="007607E5"/>
    <w:rsid w:val="007619DD"/>
    <w:rsid w:val="00761DDA"/>
    <w:rsid w:val="00762060"/>
    <w:rsid w:val="0076242F"/>
    <w:rsid w:val="00762844"/>
    <w:rsid w:val="00762AD6"/>
    <w:rsid w:val="00762B72"/>
    <w:rsid w:val="00762CC6"/>
    <w:rsid w:val="00762FA8"/>
    <w:rsid w:val="00763DC1"/>
    <w:rsid w:val="00764FF2"/>
    <w:rsid w:val="00765705"/>
    <w:rsid w:val="00765CC2"/>
    <w:rsid w:val="007660B0"/>
    <w:rsid w:val="007660B4"/>
    <w:rsid w:val="007661C0"/>
    <w:rsid w:val="007664D6"/>
    <w:rsid w:val="00766603"/>
    <w:rsid w:val="007670E5"/>
    <w:rsid w:val="00767191"/>
    <w:rsid w:val="0076735A"/>
    <w:rsid w:val="00770301"/>
    <w:rsid w:val="0077034E"/>
    <w:rsid w:val="00771928"/>
    <w:rsid w:val="00771EF6"/>
    <w:rsid w:val="007722A0"/>
    <w:rsid w:val="00772EA0"/>
    <w:rsid w:val="00773862"/>
    <w:rsid w:val="007739FF"/>
    <w:rsid w:val="00773A8E"/>
    <w:rsid w:val="00773AB3"/>
    <w:rsid w:val="00774C29"/>
    <w:rsid w:val="00775955"/>
    <w:rsid w:val="00775A76"/>
    <w:rsid w:val="00775E45"/>
    <w:rsid w:val="00775E7E"/>
    <w:rsid w:val="00776429"/>
    <w:rsid w:val="00777434"/>
    <w:rsid w:val="00777643"/>
    <w:rsid w:val="00780050"/>
    <w:rsid w:val="007807D9"/>
    <w:rsid w:val="00780D16"/>
    <w:rsid w:val="00781E66"/>
    <w:rsid w:val="00782845"/>
    <w:rsid w:val="00784839"/>
    <w:rsid w:val="00784D71"/>
    <w:rsid w:val="00785561"/>
    <w:rsid w:val="007857C5"/>
    <w:rsid w:val="00785B16"/>
    <w:rsid w:val="00785B34"/>
    <w:rsid w:val="00785C6E"/>
    <w:rsid w:val="00786735"/>
    <w:rsid w:val="007874CD"/>
    <w:rsid w:val="0078761E"/>
    <w:rsid w:val="00787782"/>
    <w:rsid w:val="00787A2C"/>
    <w:rsid w:val="00787D9B"/>
    <w:rsid w:val="00787EA6"/>
    <w:rsid w:val="0079072F"/>
    <w:rsid w:val="00790CC9"/>
    <w:rsid w:val="00790F5F"/>
    <w:rsid w:val="007914F4"/>
    <w:rsid w:val="007915EE"/>
    <w:rsid w:val="007919D6"/>
    <w:rsid w:val="00791E61"/>
    <w:rsid w:val="007920A7"/>
    <w:rsid w:val="00792416"/>
    <w:rsid w:val="007925C3"/>
    <w:rsid w:val="0079285A"/>
    <w:rsid w:val="00792A07"/>
    <w:rsid w:val="00792B1C"/>
    <w:rsid w:val="00792E1A"/>
    <w:rsid w:val="00793016"/>
    <w:rsid w:val="00793555"/>
    <w:rsid w:val="00793BBE"/>
    <w:rsid w:val="00793CD4"/>
    <w:rsid w:val="00793FE8"/>
    <w:rsid w:val="007942B9"/>
    <w:rsid w:val="007943FC"/>
    <w:rsid w:val="007946EC"/>
    <w:rsid w:val="00794D20"/>
    <w:rsid w:val="00795540"/>
    <w:rsid w:val="00795C2C"/>
    <w:rsid w:val="00796648"/>
    <w:rsid w:val="00796D03"/>
    <w:rsid w:val="0079787D"/>
    <w:rsid w:val="007A0A66"/>
    <w:rsid w:val="007A149E"/>
    <w:rsid w:val="007A1D28"/>
    <w:rsid w:val="007A1E53"/>
    <w:rsid w:val="007A1E7A"/>
    <w:rsid w:val="007A1E99"/>
    <w:rsid w:val="007A28AC"/>
    <w:rsid w:val="007A2BEF"/>
    <w:rsid w:val="007A2CC5"/>
    <w:rsid w:val="007A2DE4"/>
    <w:rsid w:val="007A37BF"/>
    <w:rsid w:val="007A3A2D"/>
    <w:rsid w:val="007A3BFF"/>
    <w:rsid w:val="007A5379"/>
    <w:rsid w:val="007A5434"/>
    <w:rsid w:val="007A5A98"/>
    <w:rsid w:val="007A5B30"/>
    <w:rsid w:val="007A5F5A"/>
    <w:rsid w:val="007A6B56"/>
    <w:rsid w:val="007A6DE2"/>
    <w:rsid w:val="007A796D"/>
    <w:rsid w:val="007B04AC"/>
    <w:rsid w:val="007B0708"/>
    <w:rsid w:val="007B0E7C"/>
    <w:rsid w:val="007B0FDE"/>
    <w:rsid w:val="007B1269"/>
    <w:rsid w:val="007B12A8"/>
    <w:rsid w:val="007B2086"/>
    <w:rsid w:val="007B22D2"/>
    <w:rsid w:val="007B22EC"/>
    <w:rsid w:val="007B2420"/>
    <w:rsid w:val="007B284C"/>
    <w:rsid w:val="007B3A0C"/>
    <w:rsid w:val="007B3DA9"/>
    <w:rsid w:val="007B3F6A"/>
    <w:rsid w:val="007B405A"/>
    <w:rsid w:val="007B4B26"/>
    <w:rsid w:val="007B51B9"/>
    <w:rsid w:val="007B541E"/>
    <w:rsid w:val="007B5C40"/>
    <w:rsid w:val="007B5EE4"/>
    <w:rsid w:val="007B7C45"/>
    <w:rsid w:val="007B7F53"/>
    <w:rsid w:val="007C08F6"/>
    <w:rsid w:val="007C15F6"/>
    <w:rsid w:val="007C17E8"/>
    <w:rsid w:val="007C1899"/>
    <w:rsid w:val="007C195C"/>
    <w:rsid w:val="007C2617"/>
    <w:rsid w:val="007C2994"/>
    <w:rsid w:val="007C38E0"/>
    <w:rsid w:val="007C3D9A"/>
    <w:rsid w:val="007C48D6"/>
    <w:rsid w:val="007C4C19"/>
    <w:rsid w:val="007C55A9"/>
    <w:rsid w:val="007C5C8B"/>
    <w:rsid w:val="007C6085"/>
    <w:rsid w:val="007C6365"/>
    <w:rsid w:val="007C79C2"/>
    <w:rsid w:val="007C7A29"/>
    <w:rsid w:val="007C7B75"/>
    <w:rsid w:val="007C7BEE"/>
    <w:rsid w:val="007D0695"/>
    <w:rsid w:val="007D1413"/>
    <w:rsid w:val="007D146B"/>
    <w:rsid w:val="007D169A"/>
    <w:rsid w:val="007D1965"/>
    <w:rsid w:val="007D2D74"/>
    <w:rsid w:val="007D2E5F"/>
    <w:rsid w:val="007D3117"/>
    <w:rsid w:val="007D3688"/>
    <w:rsid w:val="007D3872"/>
    <w:rsid w:val="007D3CF6"/>
    <w:rsid w:val="007D3F0F"/>
    <w:rsid w:val="007D43C3"/>
    <w:rsid w:val="007D49D7"/>
    <w:rsid w:val="007D4B35"/>
    <w:rsid w:val="007D4E5E"/>
    <w:rsid w:val="007D4E8F"/>
    <w:rsid w:val="007D51AD"/>
    <w:rsid w:val="007D579E"/>
    <w:rsid w:val="007D5837"/>
    <w:rsid w:val="007D5DB9"/>
    <w:rsid w:val="007D6209"/>
    <w:rsid w:val="007D71C0"/>
    <w:rsid w:val="007D72FA"/>
    <w:rsid w:val="007D7739"/>
    <w:rsid w:val="007D78E6"/>
    <w:rsid w:val="007D7987"/>
    <w:rsid w:val="007D7A9A"/>
    <w:rsid w:val="007D7D85"/>
    <w:rsid w:val="007D7E27"/>
    <w:rsid w:val="007E003C"/>
    <w:rsid w:val="007E00F4"/>
    <w:rsid w:val="007E00F6"/>
    <w:rsid w:val="007E0231"/>
    <w:rsid w:val="007E0D30"/>
    <w:rsid w:val="007E0D9F"/>
    <w:rsid w:val="007E1222"/>
    <w:rsid w:val="007E14FB"/>
    <w:rsid w:val="007E1D39"/>
    <w:rsid w:val="007E2533"/>
    <w:rsid w:val="007E275D"/>
    <w:rsid w:val="007E3902"/>
    <w:rsid w:val="007E3A82"/>
    <w:rsid w:val="007E3B2A"/>
    <w:rsid w:val="007E3D91"/>
    <w:rsid w:val="007E4191"/>
    <w:rsid w:val="007E4950"/>
    <w:rsid w:val="007E4B82"/>
    <w:rsid w:val="007E4E0C"/>
    <w:rsid w:val="007E4E77"/>
    <w:rsid w:val="007E5210"/>
    <w:rsid w:val="007E5407"/>
    <w:rsid w:val="007E5500"/>
    <w:rsid w:val="007E5C7D"/>
    <w:rsid w:val="007E610B"/>
    <w:rsid w:val="007E61A9"/>
    <w:rsid w:val="007E6637"/>
    <w:rsid w:val="007E6EDE"/>
    <w:rsid w:val="007F08F7"/>
    <w:rsid w:val="007F0B44"/>
    <w:rsid w:val="007F0C56"/>
    <w:rsid w:val="007F10F5"/>
    <w:rsid w:val="007F1554"/>
    <w:rsid w:val="007F15C9"/>
    <w:rsid w:val="007F25BB"/>
    <w:rsid w:val="007F2E08"/>
    <w:rsid w:val="007F39F0"/>
    <w:rsid w:val="007F3D06"/>
    <w:rsid w:val="007F421E"/>
    <w:rsid w:val="007F428B"/>
    <w:rsid w:val="007F42A7"/>
    <w:rsid w:val="007F4950"/>
    <w:rsid w:val="007F4EEE"/>
    <w:rsid w:val="007F5177"/>
    <w:rsid w:val="007F57A4"/>
    <w:rsid w:val="007F6C81"/>
    <w:rsid w:val="007F7161"/>
    <w:rsid w:val="007F7609"/>
    <w:rsid w:val="007F7623"/>
    <w:rsid w:val="007F7A40"/>
    <w:rsid w:val="007F7C45"/>
    <w:rsid w:val="007F7FFE"/>
    <w:rsid w:val="008004FC"/>
    <w:rsid w:val="0080094C"/>
    <w:rsid w:val="00800BC9"/>
    <w:rsid w:val="00800C38"/>
    <w:rsid w:val="00801175"/>
    <w:rsid w:val="008016DE"/>
    <w:rsid w:val="00802A89"/>
    <w:rsid w:val="008031BA"/>
    <w:rsid w:val="00803341"/>
    <w:rsid w:val="008039BA"/>
    <w:rsid w:val="0080406F"/>
    <w:rsid w:val="008053F6"/>
    <w:rsid w:val="008055D9"/>
    <w:rsid w:val="00805648"/>
    <w:rsid w:val="00805C76"/>
    <w:rsid w:val="00806583"/>
    <w:rsid w:val="00806C7A"/>
    <w:rsid w:val="008073EB"/>
    <w:rsid w:val="008074C8"/>
    <w:rsid w:val="00807BCC"/>
    <w:rsid w:val="00810762"/>
    <w:rsid w:val="00810886"/>
    <w:rsid w:val="00810D28"/>
    <w:rsid w:val="008111CE"/>
    <w:rsid w:val="008113D9"/>
    <w:rsid w:val="00811482"/>
    <w:rsid w:val="008115F1"/>
    <w:rsid w:val="0081210C"/>
    <w:rsid w:val="008129AF"/>
    <w:rsid w:val="00812BA4"/>
    <w:rsid w:val="008136EB"/>
    <w:rsid w:val="008138BD"/>
    <w:rsid w:val="00814026"/>
    <w:rsid w:val="00814371"/>
    <w:rsid w:val="008143CC"/>
    <w:rsid w:val="00814ACC"/>
    <w:rsid w:val="00814ADF"/>
    <w:rsid w:val="00814B15"/>
    <w:rsid w:val="00814C2A"/>
    <w:rsid w:val="00814C73"/>
    <w:rsid w:val="00814CF4"/>
    <w:rsid w:val="008153C2"/>
    <w:rsid w:val="00815AAD"/>
    <w:rsid w:val="00815B6D"/>
    <w:rsid w:val="00815C7A"/>
    <w:rsid w:val="00815E23"/>
    <w:rsid w:val="0081627F"/>
    <w:rsid w:val="008163DB"/>
    <w:rsid w:val="00816BF6"/>
    <w:rsid w:val="00816E96"/>
    <w:rsid w:val="0081784C"/>
    <w:rsid w:val="00817FF8"/>
    <w:rsid w:val="00820572"/>
    <w:rsid w:val="00820668"/>
    <w:rsid w:val="00820760"/>
    <w:rsid w:val="008210E8"/>
    <w:rsid w:val="008212E0"/>
    <w:rsid w:val="008212F2"/>
    <w:rsid w:val="00821587"/>
    <w:rsid w:val="00821777"/>
    <w:rsid w:val="00821D34"/>
    <w:rsid w:val="00821D40"/>
    <w:rsid w:val="00821FE7"/>
    <w:rsid w:val="008222E8"/>
    <w:rsid w:val="00822527"/>
    <w:rsid w:val="0082254C"/>
    <w:rsid w:val="00822672"/>
    <w:rsid w:val="0082348A"/>
    <w:rsid w:val="008236C3"/>
    <w:rsid w:val="00823AB2"/>
    <w:rsid w:val="008240AC"/>
    <w:rsid w:val="00824776"/>
    <w:rsid w:val="00824CEE"/>
    <w:rsid w:val="00825772"/>
    <w:rsid w:val="00825A4E"/>
    <w:rsid w:val="0082622E"/>
    <w:rsid w:val="00826B02"/>
    <w:rsid w:val="00826C0A"/>
    <w:rsid w:val="00827143"/>
    <w:rsid w:val="00827AA6"/>
    <w:rsid w:val="0083005B"/>
    <w:rsid w:val="008307AA"/>
    <w:rsid w:val="0083095C"/>
    <w:rsid w:val="00831104"/>
    <w:rsid w:val="00832B59"/>
    <w:rsid w:val="00832EE4"/>
    <w:rsid w:val="00833812"/>
    <w:rsid w:val="008348E5"/>
    <w:rsid w:val="00834967"/>
    <w:rsid w:val="008350A2"/>
    <w:rsid w:val="008350FB"/>
    <w:rsid w:val="0083669C"/>
    <w:rsid w:val="00836CD4"/>
    <w:rsid w:val="00837247"/>
    <w:rsid w:val="00837582"/>
    <w:rsid w:val="00837958"/>
    <w:rsid w:val="00837995"/>
    <w:rsid w:val="00840148"/>
    <w:rsid w:val="00840649"/>
    <w:rsid w:val="00840982"/>
    <w:rsid w:val="00841281"/>
    <w:rsid w:val="008416F6"/>
    <w:rsid w:val="008419AB"/>
    <w:rsid w:val="008419BC"/>
    <w:rsid w:val="00841AD6"/>
    <w:rsid w:val="00841ADA"/>
    <w:rsid w:val="00841E98"/>
    <w:rsid w:val="0084284E"/>
    <w:rsid w:val="00842C59"/>
    <w:rsid w:val="008435CD"/>
    <w:rsid w:val="00843727"/>
    <w:rsid w:val="00843A11"/>
    <w:rsid w:val="008442D1"/>
    <w:rsid w:val="00844AB7"/>
    <w:rsid w:val="00844BAD"/>
    <w:rsid w:val="008450EB"/>
    <w:rsid w:val="008452FE"/>
    <w:rsid w:val="008455EF"/>
    <w:rsid w:val="00845B4D"/>
    <w:rsid w:val="00845CB4"/>
    <w:rsid w:val="00845CF6"/>
    <w:rsid w:val="00846979"/>
    <w:rsid w:val="00846999"/>
    <w:rsid w:val="008479A8"/>
    <w:rsid w:val="00850098"/>
    <w:rsid w:val="008501DE"/>
    <w:rsid w:val="008504A1"/>
    <w:rsid w:val="00850BFD"/>
    <w:rsid w:val="00850DD3"/>
    <w:rsid w:val="00852229"/>
    <w:rsid w:val="008527AA"/>
    <w:rsid w:val="00852AAC"/>
    <w:rsid w:val="00852DAB"/>
    <w:rsid w:val="00853B6B"/>
    <w:rsid w:val="00853F00"/>
    <w:rsid w:val="008541A3"/>
    <w:rsid w:val="00854DEA"/>
    <w:rsid w:val="008554C8"/>
    <w:rsid w:val="008561E8"/>
    <w:rsid w:val="00856FF5"/>
    <w:rsid w:val="008570E3"/>
    <w:rsid w:val="00857277"/>
    <w:rsid w:val="00857618"/>
    <w:rsid w:val="00857A5B"/>
    <w:rsid w:val="00857A7E"/>
    <w:rsid w:val="00857DEF"/>
    <w:rsid w:val="00860048"/>
    <w:rsid w:val="00860BBB"/>
    <w:rsid w:val="008610F0"/>
    <w:rsid w:val="00861A3E"/>
    <w:rsid w:val="008620B6"/>
    <w:rsid w:val="00862B2D"/>
    <w:rsid w:val="00862DAA"/>
    <w:rsid w:val="00863A8C"/>
    <w:rsid w:val="00863CB3"/>
    <w:rsid w:val="00864BB7"/>
    <w:rsid w:val="008660D8"/>
    <w:rsid w:val="00866183"/>
    <w:rsid w:val="008665F5"/>
    <w:rsid w:val="00867245"/>
    <w:rsid w:val="0086759A"/>
    <w:rsid w:val="00867E20"/>
    <w:rsid w:val="008701CD"/>
    <w:rsid w:val="00870316"/>
    <w:rsid w:val="008703F0"/>
    <w:rsid w:val="00871155"/>
    <w:rsid w:val="008714CF"/>
    <w:rsid w:val="0087158A"/>
    <w:rsid w:val="008718F7"/>
    <w:rsid w:val="008719E5"/>
    <w:rsid w:val="00872205"/>
    <w:rsid w:val="008725A1"/>
    <w:rsid w:val="00872E8B"/>
    <w:rsid w:val="008739AE"/>
    <w:rsid w:val="00873E64"/>
    <w:rsid w:val="00873ECE"/>
    <w:rsid w:val="0087406D"/>
    <w:rsid w:val="008742E2"/>
    <w:rsid w:val="0087494D"/>
    <w:rsid w:val="008751D3"/>
    <w:rsid w:val="008754F1"/>
    <w:rsid w:val="00875A44"/>
    <w:rsid w:val="00875D5D"/>
    <w:rsid w:val="00875DBD"/>
    <w:rsid w:val="008760F7"/>
    <w:rsid w:val="00876910"/>
    <w:rsid w:val="00876D1C"/>
    <w:rsid w:val="00877AFF"/>
    <w:rsid w:val="00877CCE"/>
    <w:rsid w:val="008809F3"/>
    <w:rsid w:val="00880C91"/>
    <w:rsid w:val="008810B4"/>
    <w:rsid w:val="00881240"/>
    <w:rsid w:val="008819E6"/>
    <w:rsid w:val="00881AC0"/>
    <w:rsid w:val="00882229"/>
    <w:rsid w:val="008828E9"/>
    <w:rsid w:val="008829D1"/>
    <w:rsid w:val="00882C3A"/>
    <w:rsid w:val="00882D4D"/>
    <w:rsid w:val="008830A9"/>
    <w:rsid w:val="008839C8"/>
    <w:rsid w:val="00884851"/>
    <w:rsid w:val="00884EF6"/>
    <w:rsid w:val="008855C7"/>
    <w:rsid w:val="00885A09"/>
    <w:rsid w:val="00886071"/>
    <w:rsid w:val="00887134"/>
    <w:rsid w:val="0088716C"/>
    <w:rsid w:val="00887995"/>
    <w:rsid w:val="0089092B"/>
    <w:rsid w:val="00891199"/>
    <w:rsid w:val="0089142E"/>
    <w:rsid w:val="008917A0"/>
    <w:rsid w:val="00891E20"/>
    <w:rsid w:val="00891E2D"/>
    <w:rsid w:val="00892003"/>
    <w:rsid w:val="00892A26"/>
    <w:rsid w:val="00892EB6"/>
    <w:rsid w:val="00892EED"/>
    <w:rsid w:val="008931BF"/>
    <w:rsid w:val="00893578"/>
    <w:rsid w:val="008937F2"/>
    <w:rsid w:val="00893B01"/>
    <w:rsid w:val="00893C32"/>
    <w:rsid w:val="00893E82"/>
    <w:rsid w:val="0089425D"/>
    <w:rsid w:val="00894F43"/>
    <w:rsid w:val="00896C09"/>
    <w:rsid w:val="00896DE2"/>
    <w:rsid w:val="00896DF6"/>
    <w:rsid w:val="008971C2"/>
    <w:rsid w:val="00897732"/>
    <w:rsid w:val="00897BD3"/>
    <w:rsid w:val="00897DE9"/>
    <w:rsid w:val="008A06A2"/>
    <w:rsid w:val="008A0E1A"/>
    <w:rsid w:val="008A0FB3"/>
    <w:rsid w:val="008A1074"/>
    <w:rsid w:val="008A17DC"/>
    <w:rsid w:val="008A1915"/>
    <w:rsid w:val="008A228C"/>
    <w:rsid w:val="008A2826"/>
    <w:rsid w:val="008A3039"/>
    <w:rsid w:val="008A32CE"/>
    <w:rsid w:val="008A3906"/>
    <w:rsid w:val="008A3D2E"/>
    <w:rsid w:val="008A40F6"/>
    <w:rsid w:val="008A420C"/>
    <w:rsid w:val="008A4808"/>
    <w:rsid w:val="008A4A6B"/>
    <w:rsid w:val="008A4DC5"/>
    <w:rsid w:val="008A52AC"/>
    <w:rsid w:val="008A55BD"/>
    <w:rsid w:val="008A563E"/>
    <w:rsid w:val="008A57BB"/>
    <w:rsid w:val="008A5C32"/>
    <w:rsid w:val="008A5D57"/>
    <w:rsid w:val="008A5EE3"/>
    <w:rsid w:val="008A6282"/>
    <w:rsid w:val="008A631C"/>
    <w:rsid w:val="008A661C"/>
    <w:rsid w:val="008A6F77"/>
    <w:rsid w:val="008A757C"/>
    <w:rsid w:val="008A7C68"/>
    <w:rsid w:val="008A7D48"/>
    <w:rsid w:val="008B073A"/>
    <w:rsid w:val="008B078D"/>
    <w:rsid w:val="008B0CD2"/>
    <w:rsid w:val="008B0E70"/>
    <w:rsid w:val="008B187A"/>
    <w:rsid w:val="008B18AA"/>
    <w:rsid w:val="008B1E8C"/>
    <w:rsid w:val="008B31A2"/>
    <w:rsid w:val="008B3A95"/>
    <w:rsid w:val="008B447B"/>
    <w:rsid w:val="008B505E"/>
    <w:rsid w:val="008B538B"/>
    <w:rsid w:val="008B60DE"/>
    <w:rsid w:val="008B678F"/>
    <w:rsid w:val="008B6999"/>
    <w:rsid w:val="008B6E27"/>
    <w:rsid w:val="008B6F91"/>
    <w:rsid w:val="008B795A"/>
    <w:rsid w:val="008B7E8B"/>
    <w:rsid w:val="008B7F4B"/>
    <w:rsid w:val="008C08EA"/>
    <w:rsid w:val="008C0B8B"/>
    <w:rsid w:val="008C241C"/>
    <w:rsid w:val="008C288B"/>
    <w:rsid w:val="008C28AF"/>
    <w:rsid w:val="008C294A"/>
    <w:rsid w:val="008C3262"/>
    <w:rsid w:val="008C32B2"/>
    <w:rsid w:val="008C34CE"/>
    <w:rsid w:val="008C35A6"/>
    <w:rsid w:val="008C374A"/>
    <w:rsid w:val="008C375A"/>
    <w:rsid w:val="008C37CB"/>
    <w:rsid w:val="008C38A1"/>
    <w:rsid w:val="008C412F"/>
    <w:rsid w:val="008C4387"/>
    <w:rsid w:val="008C491B"/>
    <w:rsid w:val="008C4A09"/>
    <w:rsid w:val="008C4A11"/>
    <w:rsid w:val="008C4FE1"/>
    <w:rsid w:val="008C54C0"/>
    <w:rsid w:val="008C57A8"/>
    <w:rsid w:val="008C5C82"/>
    <w:rsid w:val="008C5CE1"/>
    <w:rsid w:val="008C6386"/>
    <w:rsid w:val="008C63D2"/>
    <w:rsid w:val="008C689C"/>
    <w:rsid w:val="008C70E1"/>
    <w:rsid w:val="008C719A"/>
    <w:rsid w:val="008C7B01"/>
    <w:rsid w:val="008C7C9F"/>
    <w:rsid w:val="008D0B00"/>
    <w:rsid w:val="008D0C4B"/>
    <w:rsid w:val="008D17C3"/>
    <w:rsid w:val="008D1BBE"/>
    <w:rsid w:val="008D1CC2"/>
    <w:rsid w:val="008D260D"/>
    <w:rsid w:val="008D28E1"/>
    <w:rsid w:val="008D296C"/>
    <w:rsid w:val="008D2FA4"/>
    <w:rsid w:val="008D301D"/>
    <w:rsid w:val="008D3757"/>
    <w:rsid w:val="008D3AD8"/>
    <w:rsid w:val="008D41F6"/>
    <w:rsid w:val="008D426D"/>
    <w:rsid w:val="008D47FA"/>
    <w:rsid w:val="008D4A52"/>
    <w:rsid w:val="008D4DB9"/>
    <w:rsid w:val="008D52FA"/>
    <w:rsid w:val="008D58B2"/>
    <w:rsid w:val="008D6163"/>
    <w:rsid w:val="008D630E"/>
    <w:rsid w:val="008D6685"/>
    <w:rsid w:val="008D6BE8"/>
    <w:rsid w:val="008D6C25"/>
    <w:rsid w:val="008D6D89"/>
    <w:rsid w:val="008D6EA4"/>
    <w:rsid w:val="008D7177"/>
    <w:rsid w:val="008D7326"/>
    <w:rsid w:val="008D7BA1"/>
    <w:rsid w:val="008D7CFD"/>
    <w:rsid w:val="008E00A2"/>
    <w:rsid w:val="008E04C6"/>
    <w:rsid w:val="008E0B91"/>
    <w:rsid w:val="008E0F62"/>
    <w:rsid w:val="008E1F87"/>
    <w:rsid w:val="008E277C"/>
    <w:rsid w:val="008E288E"/>
    <w:rsid w:val="008E30B2"/>
    <w:rsid w:val="008E3220"/>
    <w:rsid w:val="008E3AC6"/>
    <w:rsid w:val="008E4955"/>
    <w:rsid w:val="008E4D8F"/>
    <w:rsid w:val="008E5425"/>
    <w:rsid w:val="008E545B"/>
    <w:rsid w:val="008E575F"/>
    <w:rsid w:val="008E5907"/>
    <w:rsid w:val="008E6247"/>
    <w:rsid w:val="008E6F04"/>
    <w:rsid w:val="008F0B4C"/>
    <w:rsid w:val="008F0C54"/>
    <w:rsid w:val="008F20E8"/>
    <w:rsid w:val="008F284D"/>
    <w:rsid w:val="008F2A56"/>
    <w:rsid w:val="008F3079"/>
    <w:rsid w:val="008F34F2"/>
    <w:rsid w:val="008F3540"/>
    <w:rsid w:val="008F39C9"/>
    <w:rsid w:val="008F3E30"/>
    <w:rsid w:val="008F3F2B"/>
    <w:rsid w:val="008F45A7"/>
    <w:rsid w:val="008F501F"/>
    <w:rsid w:val="008F5178"/>
    <w:rsid w:val="008F52D4"/>
    <w:rsid w:val="008F5398"/>
    <w:rsid w:val="008F5403"/>
    <w:rsid w:val="008F5476"/>
    <w:rsid w:val="008F55A3"/>
    <w:rsid w:val="008F5A08"/>
    <w:rsid w:val="008F62E4"/>
    <w:rsid w:val="008F67B3"/>
    <w:rsid w:val="008F690B"/>
    <w:rsid w:val="008F6A7C"/>
    <w:rsid w:val="008F70BB"/>
    <w:rsid w:val="008F7688"/>
    <w:rsid w:val="008F769C"/>
    <w:rsid w:val="008F7E76"/>
    <w:rsid w:val="00901035"/>
    <w:rsid w:val="00902055"/>
    <w:rsid w:val="009028C5"/>
    <w:rsid w:val="00902960"/>
    <w:rsid w:val="00902E26"/>
    <w:rsid w:val="00902EBF"/>
    <w:rsid w:val="00903A3B"/>
    <w:rsid w:val="00903B9A"/>
    <w:rsid w:val="009042E7"/>
    <w:rsid w:val="0090479D"/>
    <w:rsid w:val="009047AC"/>
    <w:rsid w:val="009050F5"/>
    <w:rsid w:val="009052E4"/>
    <w:rsid w:val="00905378"/>
    <w:rsid w:val="009053A6"/>
    <w:rsid w:val="00905B32"/>
    <w:rsid w:val="00905F54"/>
    <w:rsid w:val="0090610B"/>
    <w:rsid w:val="009068AB"/>
    <w:rsid w:val="00906901"/>
    <w:rsid w:val="009069CB"/>
    <w:rsid w:val="00906B44"/>
    <w:rsid w:val="0091053C"/>
    <w:rsid w:val="0091099B"/>
    <w:rsid w:val="00910D5C"/>
    <w:rsid w:val="00910F64"/>
    <w:rsid w:val="009115A7"/>
    <w:rsid w:val="00911879"/>
    <w:rsid w:val="00911B95"/>
    <w:rsid w:val="009120D1"/>
    <w:rsid w:val="00912348"/>
    <w:rsid w:val="0091251F"/>
    <w:rsid w:val="00912B10"/>
    <w:rsid w:val="00912BD4"/>
    <w:rsid w:val="00912DBD"/>
    <w:rsid w:val="009132C6"/>
    <w:rsid w:val="00913315"/>
    <w:rsid w:val="0091399C"/>
    <w:rsid w:val="00913C1B"/>
    <w:rsid w:val="009142D8"/>
    <w:rsid w:val="00915792"/>
    <w:rsid w:val="00915CB8"/>
    <w:rsid w:val="00916CF0"/>
    <w:rsid w:val="00916DF6"/>
    <w:rsid w:val="0091758F"/>
    <w:rsid w:val="009203DA"/>
    <w:rsid w:val="009205F8"/>
    <w:rsid w:val="00920CAD"/>
    <w:rsid w:val="00921225"/>
    <w:rsid w:val="0092186F"/>
    <w:rsid w:val="00921965"/>
    <w:rsid w:val="009219BC"/>
    <w:rsid w:val="00921A3B"/>
    <w:rsid w:val="00921FBB"/>
    <w:rsid w:val="00922176"/>
    <w:rsid w:val="009226A9"/>
    <w:rsid w:val="00922770"/>
    <w:rsid w:val="00922866"/>
    <w:rsid w:val="00922912"/>
    <w:rsid w:val="00922FFD"/>
    <w:rsid w:val="0092392B"/>
    <w:rsid w:val="00923C2E"/>
    <w:rsid w:val="0092455C"/>
    <w:rsid w:val="0092475D"/>
    <w:rsid w:val="00924995"/>
    <w:rsid w:val="00925519"/>
    <w:rsid w:val="00926DA1"/>
    <w:rsid w:val="00926F2E"/>
    <w:rsid w:val="0092732C"/>
    <w:rsid w:val="00927D3C"/>
    <w:rsid w:val="0093053E"/>
    <w:rsid w:val="00930814"/>
    <w:rsid w:val="00930A86"/>
    <w:rsid w:val="00930BB8"/>
    <w:rsid w:val="0093102D"/>
    <w:rsid w:val="00931033"/>
    <w:rsid w:val="009311C5"/>
    <w:rsid w:val="009315D5"/>
    <w:rsid w:val="00931770"/>
    <w:rsid w:val="00931939"/>
    <w:rsid w:val="00931A41"/>
    <w:rsid w:val="00931D2E"/>
    <w:rsid w:val="0093249B"/>
    <w:rsid w:val="009328B0"/>
    <w:rsid w:val="009330EA"/>
    <w:rsid w:val="0093329C"/>
    <w:rsid w:val="00933B11"/>
    <w:rsid w:val="00933E4A"/>
    <w:rsid w:val="00934027"/>
    <w:rsid w:val="009353E8"/>
    <w:rsid w:val="00935925"/>
    <w:rsid w:val="009359C4"/>
    <w:rsid w:val="00936AF4"/>
    <w:rsid w:val="00936C88"/>
    <w:rsid w:val="00936F92"/>
    <w:rsid w:val="00937D28"/>
    <w:rsid w:val="00940390"/>
    <w:rsid w:val="00940437"/>
    <w:rsid w:val="009404A6"/>
    <w:rsid w:val="009406FC"/>
    <w:rsid w:val="00940939"/>
    <w:rsid w:val="00940E5D"/>
    <w:rsid w:val="0094169D"/>
    <w:rsid w:val="00942AC9"/>
    <w:rsid w:val="00942B64"/>
    <w:rsid w:val="0094332B"/>
    <w:rsid w:val="0094347E"/>
    <w:rsid w:val="00943FF0"/>
    <w:rsid w:val="0094425A"/>
    <w:rsid w:val="00944B67"/>
    <w:rsid w:val="00944C9C"/>
    <w:rsid w:val="0094522D"/>
    <w:rsid w:val="00945784"/>
    <w:rsid w:val="00945917"/>
    <w:rsid w:val="00945D55"/>
    <w:rsid w:val="0094636A"/>
    <w:rsid w:val="00946E8A"/>
    <w:rsid w:val="00947AD3"/>
    <w:rsid w:val="00950A1A"/>
    <w:rsid w:val="0095181A"/>
    <w:rsid w:val="0095181C"/>
    <w:rsid w:val="00951DE1"/>
    <w:rsid w:val="00951FD3"/>
    <w:rsid w:val="00951FE8"/>
    <w:rsid w:val="00952AFF"/>
    <w:rsid w:val="00952D2B"/>
    <w:rsid w:val="0095381A"/>
    <w:rsid w:val="0095430E"/>
    <w:rsid w:val="00954F00"/>
    <w:rsid w:val="00954F2B"/>
    <w:rsid w:val="0095594B"/>
    <w:rsid w:val="009559A4"/>
    <w:rsid w:val="00956FF1"/>
    <w:rsid w:val="00957678"/>
    <w:rsid w:val="00957A5C"/>
    <w:rsid w:val="00957BAF"/>
    <w:rsid w:val="009601FD"/>
    <w:rsid w:val="009605FF"/>
    <w:rsid w:val="00960685"/>
    <w:rsid w:val="0096068B"/>
    <w:rsid w:val="00960E1D"/>
    <w:rsid w:val="00961073"/>
    <w:rsid w:val="009617B2"/>
    <w:rsid w:val="009620A3"/>
    <w:rsid w:val="009621D6"/>
    <w:rsid w:val="00963DD4"/>
    <w:rsid w:val="009647CF"/>
    <w:rsid w:val="00965055"/>
    <w:rsid w:val="00965221"/>
    <w:rsid w:val="0096592D"/>
    <w:rsid w:val="00965B7C"/>
    <w:rsid w:val="0096612D"/>
    <w:rsid w:val="00966148"/>
    <w:rsid w:val="009667DF"/>
    <w:rsid w:val="00966E79"/>
    <w:rsid w:val="0096709B"/>
    <w:rsid w:val="0096767F"/>
    <w:rsid w:val="009676DE"/>
    <w:rsid w:val="0097037C"/>
    <w:rsid w:val="00970D70"/>
    <w:rsid w:val="0097195E"/>
    <w:rsid w:val="00971BCA"/>
    <w:rsid w:val="00972231"/>
    <w:rsid w:val="00973036"/>
    <w:rsid w:val="00973080"/>
    <w:rsid w:val="009733CE"/>
    <w:rsid w:val="009734D6"/>
    <w:rsid w:val="00973A10"/>
    <w:rsid w:val="00973ED2"/>
    <w:rsid w:val="009748F1"/>
    <w:rsid w:val="00974AB5"/>
    <w:rsid w:val="00974CDC"/>
    <w:rsid w:val="009753A8"/>
    <w:rsid w:val="00975577"/>
    <w:rsid w:val="00976497"/>
    <w:rsid w:val="009764D6"/>
    <w:rsid w:val="00976A60"/>
    <w:rsid w:val="00976F59"/>
    <w:rsid w:val="009773C6"/>
    <w:rsid w:val="00977E10"/>
    <w:rsid w:val="0098005F"/>
    <w:rsid w:val="00980256"/>
    <w:rsid w:val="00980541"/>
    <w:rsid w:val="00980D11"/>
    <w:rsid w:val="00981311"/>
    <w:rsid w:val="009814A9"/>
    <w:rsid w:val="0098382B"/>
    <w:rsid w:val="00983D2D"/>
    <w:rsid w:val="0098420D"/>
    <w:rsid w:val="00984242"/>
    <w:rsid w:val="0098465E"/>
    <w:rsid w:val="00984C90"/>
    <w:rsid w:val="00985768"/>
    <w:rsid w:val="00985BC5"/>
    <w:rsid w:val="00985C30"/>
    <w:rsid w:val="00986154"/>
    <w:rsid w:val="009868E6"/>
    <w:rsid w:val="00986DA4"/>
    <w:rsid w:val="009878C0"/>
    <w:rsid w:val="00987CF0"/>
    <w:rsid w:val="009904AE"/>
    <w:rsid w:val="00990E33"/>
    <w:rsid w:val="0099177B"/>
    <w:rsid w:val="00991AED"/>
    <w:rsid w:val="00992DF4"/>
    <w:rsid w:val="009935D2"/>
    <w:rsid w:val="0099411B"/>
    <w:rsid w:val="00994257"/>
    <w:rsid w:val="0099483B"/>
    <w:rsid w:val="00994A8E"/>
    <w:rsid w:val="00994AAA"/>
    <w:rsid w:val="009953CF"/>
    <w:rsid w:val="00995529"/>
    <w:rsid w:val="00996890"/>
    <w:rsid w:val="00996A35"/>
    <w:rsid w:val="00996DA8"/>
    <w:rsid w:val="00997054"/>
    <w:rsid w:val="00997302"/>
    <w:rsid w:val="009973A1"/>
    <w:rsid w:val="00997541"/>
    <w:rsid w:val="00997583"/>
    <w:rsid w:val="00997609"/>
    <w:rsid w:val="00997F3E"/>
    <w:rsid w:val="009A0376"/>
    <w:rsid w:val="009A0A2F"/>
    <w:rsid w:val="009A0AE6"/>
    <w:rsid w:val="009A0EA3"/>
    <w:rsid w:val="009A1349"/>
    <w:rsid w:val="009A17DC"/>
    <w:rsid w:val="009A1A35"/>
    <w:rsid w:val="009A1DFB"/>
    <w:rsid w:val="009A1F46"/>
    <w:rsid w:val="009A2210"/>
    <w:rsid w:val="009A2A04"/>
    <w:rsid w:val="009A2EEC"/>
    <w:rsid w:val="009A301A"/>
    <w:rsid w:val="009A3251"/>
    <w:rsid w:val="009A32DF"/>
    <w:rsid w:val="009A389A"/>
    <w:rsid w:val="009A41BF"/>
    <w:rsid w:val="009A45E1"/>
    <w:rsid w:val="009A48E3"/>
    <w:rsid w:val="009A51B0"/>
    <w:rsid w:val="009A5453"/>
    <w:rsid w:val="009A5AA3"/>
    <w:rsid w:val="009A64A2"/>
    <w:rsid w:val="009A6AE1"/>
    <w:rsid w:val="009A759E"/>
    <w:rsid w:val="009B022A"/>
    <w:rsid w:val="009B0989"/>
    <w:rsid w:val="009B0F56"/>
    <w:rsid w:val="009B1118"/>
    <w:rsid w:val="009B115F"/>
    <w:rsid w:val="009B1376"/>
    <w:rsid w:val="009B13BB"/>
    <w:rsid w:val="009B2168"/>
    <w:rsid w:val="009B2B2F"/>
    <w:rsid w:val="009B2BCA"/>
    <w:rsid w:val="009B3034"/>
    <w:rsid w:val="009B3B5C"/>
    <w:rsid w:val="009B3BE5"/>
    <w:rsid w:val="009B3F2F"/>
    <w:rsid w:val="009B3F3C"/>
    <w:rsid w:val="009B41BB"/>
    <w:rsid w:val="009B421E"/>
    <w:rsid w:val="009B4925"/>
    <w:rsid w:val="009B4D33"/>
    <w:rsid w:val="009B4E7B"/>
    <w:rsid w:val="009B515E"/>
    <w:rsid w:val="009B517A"/>
    <w:rsid w:val="009B574D"/>
    <w:rsid w:val="009B585C"/>
    <w:rsid w:val="009B5ADD"/>
    <w:rsid w:val="009B6249"/>
    <w:rsid w:val="009B6A82"/>
    <w:rsid w:val="009B6F4D"/>
    <w:rsid w:val="009B7235"/>
    <w:rsid w:val="009B792D"/>
    <w:rsid w:val="009B7A35"/>
    <w:rsid w:val="009B7B04"/>
    <w:rsid w:val="009C04C5"/>
    <w:rsid w:val="009C0F33"/>
    <w:rsid w:val="009C19F2"/>
    <w:rsid w:val="009C1DBD"/>
    <w:rsid w:val="009C1E8B"/>
    <w:rsid w:val="009C23F9"/>
    <w:rsid w:val="009C241C"/>
    <w:rsid w:val="009C2B00"/>
    <w:rsid w:val="009C3609"/>
    <w:rsid w:val="009C3721"/>
    <w:rsid w:val="009C3906"/>
    <w:rsid w:val="009C3C4D"/>
    <w:rsid w:val="009C3EF9"/>
    <w:rsid w:val="009C3FF8"/>
    <w:rsid w:val="009C3FFE"/>
    <w:rsid w:val="009C4036"/>
    <w:rsid w:val="009C4106"/>
    <w:rsid w:val="009C4179"/>
    <w:rsid w:val="009C44AF"/>
    <w:rsid w:val="009C4881"/>
    <w:rsid w:val="009C48FD"/>
    <w:rsid w:val="009C4A50"/>
    <w:rsid w:val="009C4CAC"/>
    <w:rsid w:val="009C4E24"/>
    <w:rsid w:val="009C4E7A"/>
    <w:rsid w:val="009C4EB5"/>
    <w:rsid w:val="009C50A3"/>
    <w:rsid w:val="009C5199"/>
    <w:rsid w:val="009C5420"/>
    <w:rsid w:val="009C5B36"/>
    <w:rsid w:val="009C6BEF"/>
    <w:rsid w:val="009C724E"/>
    <w:rsid w:val="009C7305"/>
    <w:rsid w:val="009C7AF8"/>
    <w:rsid w:val="009D02BB"/>
    <w:rsid w:val="009D09CC"/>
    <w:rsid w:val="009D177D"/>
    <w:rsid w:val="009D18C2"/>
    <w:rsid w:val="009D1C47"/>
    <w:rsid w:val="009D2092"/>
    <w:rsid w:val="009D2677"/>
    <w:rsid w:val="009D328A"/>
    <w:rsid w:val="009D35EA"/>
    <w:rsid w:val="009D4342"/>
    <w:rsid w:val="009D4688"/>
    <w:rsid w:val="009D60C3"/>
    <w:rsid w:val="009D61F5"/>
    <w:rsid w:val="009D6670"/>
    <w:rsid w:val="009D6A05"/>
    <w:rsid w:val="009D720D"/>
    <w:rsid w:val="009D74D6"/>
    <w:rsid w:val="009D7F24"/>
    <w:rsid w:val="009E01BC"/>
    <w:rsid w:val="009E09B0"/>
    <w:rsid w:val="009E1303"/>
    <w:rsid w:val="009E15BD"/>
    <w:rsid w:val="009E1D5C"/>
    <w:rsid w:val="009E20DF"/>
    <w:rsid w:val="009E2278"/>
    <w:rsid w:val="009E23BC"/>
    <w:rsid w:val="009E2472"/>
    <w:rsid w:val="009E2929"/>
    <w:rsid w:val="009E2BD1"/>
    <w:rsid w:val="009E30C2"/>
    <w:rsid w:val="009E4C52"/>
    <w:rsid w:val="009E51B2"/>
    <w:rsid w:val="009E5945"/>
    <w:rsid w:val="009E5C19"/>
    <w:rsid w:val="009E5C23"/>
    <w:rsid w:val="009E64FB"/>
    <w:rsid w:val="009E767A"/>
    <w:rsid w:val="009E7DD4"/>
    <w:rsid w:val="009F0468"/>
    <w:rsid w:val="009F063B"/>
    <w:rsid w:val="009F0651"/>
    <w:rsid w:val="009F0B7C"/>
    <w:rsid w:val="009F1003"/>
    <w:rsid w:val="009F274A"/>
    <w:rsid w:val="009F345D"/>
    <w:rsid w:val="009F4D17"/>
    <w:rsid w:val="009F4F2D"/>
    <w:rsid w:val="009F508B"/>
    <w:rsid w:val="009F52A1"/>
    <w:rsid w:val="009F537F"/>
    <w:rsid w:val="009F573F"/>
    <w:rsid w:val="009F584C"/>
    <w:rsid w:val="009F655F"/>
    <w:rsid w:val="009F6581"/>
    <w:rsid w:val="009F6612"/>
    <w:rsid w:val="009F66FF"/>
    <w:rsid w:val="009F6EEB"/>
    <w:rsid w:val="00A000C9"/>
    <w:rsid w:val="00A00314"/>
    <w:rsid w:val="00A00BDD"/>
    <w:rsid w:val="00A011A0"/>
    <w:rsid w:val="00A0168B"/>
    <w:rsid w:val="00A016CA"/>
    <w:rsid w:val="00A01984"/>
    <w:rsid w:val="00A01A15"/>
    <w:rsid w:val="00A01F2D"/>
    <w:rsid w:val="00A02216"/>
    <w:rsid w:val="00A030E4"/>
    <w:rsid w:val="00A034B6"/>
    <w:rsid w:val="00A043C0"/>
    <w:rsid w:val="00A050D3"/>
    <w:rsid w:val="00A051FC"/>
    <w:rsid w:val="00A054F4"/>
    <w:rsid w:val="00A0598F"/>
    <w:rsid w:val="00A060B3"/>
    <w:rsid w:val="00A062CD"/>
    <w:rsid w:val="00A06D9F"/>
    <w:rsid w:val="00A0739F"/>
    <w:rsid w:val="00A07AA3"/>
    <w:rsid w:val="00A07E05"/>
    <w:rsid w:val="00A102D8"/>
    <w:rsid w:val="00A1049C"/>
    <w:rsid w:val="00A10864"/>
    <w:rsid w:val="00A109F3"/>
    <w:rsid w:val="00A11774"/>
    <w:rsid w:val="00A1192E"/>
    <w:rsid w:val="00A129B9"/>
    <w:rsid w:val="00A12C1E"/>
    <w:rsid w:val="00A12D48"/>
    <w:rsid w:val="00A12D83"/>
    <w:rsid w:val="00A12F51"/>
    <w:rsid w:val="00A13199"/>
    <w:rsid w:val="00A133A5"/>
    <w:rsid w:val="00A136BB"/>
    <w:rsid w:val="00A13943"/>
    <w:rsid w:val="00A141C3"/>
    <w:rsid w:val="00A143A9"/>
    <w:rsid w:val="00A1460D"/>
    <w:rsid w:val="00A15BA5"/>
    <w:rsid w:val="00A160F9"/>
    <w:rsid w:val="00A17188"/>
    <w:rsid w:val="00A1748F"/>
    <w:rsid w:val="00A1778B"/>
    <w:rsid w:val="00A20816"/>
    <w:rsid w:val="00A20918"/>
    <w:rsid w:val="00A20A97"/>
    <w:rsid w:val="00A20E26"/>
    <w:rsid w:val="00A21189"/>
    <w:rsid w:val="00A218FF"/>
    <w:rsid w:val="00A22715"/>
    <w:rsid w:val="00A23787"/>
    <w:rsid w:val="00A239BA"/>
    <w:rsid w:val="00A24B89"/>
    <w:rsid w:val="00A24C67"/>
    <w:rsid w:val="00A24EA2"/>
    <w:rsid w:val="00A24EB4"/>
    <w:rsid w:val="00A2565A"/>
    <w:rsid w:val="00A25DCF"/>
    <w:rsid w:val="00A25EF3"/>
    <w:rsid w:val="00A25F92"/>
    <w:rsid w:val="00A263EC"/>
    <w:rsid w:val="00A263F6"/>
    <w:rsid w:val="00A266C1"/>
    <w:rsid w:val="00A26856"/>
    <w:rsid w:val="00A2685E"/>
    <w:rsid w:val="00A26EA4"/>
    <w:rsid w:val="00A27A82"/>
    <w:rsid w:val="00A27CB0"/>
    <w:rsid w:val="00A31376"/>
    <w:rsid w:val="00A314A9"/>
    <w:rsid w:val="00A316FE"/>
    <w:rsid w:val="00A31EFD"/>
    <w:rsid w:val="00A32EA9"/>
    <w:rsid w:val="00A32FC0"/>
    <w:rsid w:val="00A33351"/>
    <w:rsid w:val="00A33788"/>
    <w:rsid w:val="00A338D6"/>
    <w:rsid w:val="00A34698"/>
    <w:rsid w:val="00A34ABC"/>
    <w:rsid w:val="00A34DC0"/>
    <w:rsid w:val="00A358AE"/>
    <w:rsid w:val="00A35F28"/>
    <w:rsid w:val="00A362B5"/>
    <w:rsid w:val="00A36FA6"/>
    <w:rsid w:val="00A370AE"/>
    <w:rsid w:val="00A374CC"/>
    <w:rsid w:val="00A3763A"/>
    <w:rsid w:val="00A37669"/>
    <w:rsid w:val="00A40B99"/>
    <w:rsid w:val="00A40C5D"/>
    <w:rsid w:val="00A42528"/>
    <w:rsid w:val="00A42C59"/>
    <w:rsid w:val="00A42C8D"/>
    <w:rsid w:val="00A42D8D"/>
    <w:rsid w:val="00A438EC"/>
    <w:rsid w:val="00A4421B"/>
    <w:rsid w:val="00A4434B"/>
    <w:rsid w:val="00A45A8A"/>
    <w:rsid w:val="00A45BA6"/>
    <w:rsid w:val="00A45C14"/>
    <w:rsid w:val="00A4740A"/>
    <w:rsid w:val="00A4776C"/>
    <w:rsid w:val="00A47795"/>
    <w:rsid w:val="00A479B8"/>
    <w:rsid w:val="00A504D8"/>
    <w:rsid w:val="00A5050A"/>
    <w:rsid w:val="00A5093C"/>
    <w:rsid w:val="00A51204"/>
    <w:rsid w:val="00A516C3"/>
    <w:rsid w:val="00A51777"/>
    <w:rsid w:val="00A51FF7"/>
    <w:rsid w:val="00A520DD"/>
    <w:rsid w:val="00A52986"/>
    <w:rsid w:val="00A52C2C"/>
    <w:rsid w:val="00A53AC1"/>
    <w:rsid w:val="00A5463C"/>
    <w:rsid w:val="00A54D7B"/>
    <w:rsid w:val="00A550A9"/>
    <w:rsid w:val="00A55119"/>
    <w:rsid w:val="00A5546E"/>
    <w:rsid w:val="00A55961"/>
    <w:rsid w:val="00A56258"/>
    <w:rsid w:val="00A56E62"/>
    <w:rsid w:val="00A576FA"/>
    <w:rsid w:val="00A57B6A"/>
    <w:rsid w:val="00A600D8"/>
    <w:rsid w:val="00A606F9"/>
    <w:rsid w:val="00A60828"/>
    <w:rsid w:val="00A60A84"/>
    <w:rsid w:val="00A6120B"/>
    <w:rsid w:val="00A61297"/>
    <w:rsid w:val="00A61E08"/>
    <w:rsid w:val="00A62055"/>
    <w:rsid w:val="00A62252"/>
    <w:rsid w:val="00A62495"/>
    <w:rsid w:val="00A628B1"/>
    <w:rsid w:val="00A63F2F"/>
    <w:rsid w:val="00A642FB"/>
    <w:rsid w:val="00A64395"/>
    <w:rsid w:val="00A6469D"/>
    <w:rsid w:val="00A64710"/>
    <w:rsid w:val="00A64CBB"/>
    <w:rsid w:val="00A64EE5"/>
    <w:rsid w:val="00A65D17"/>
    <w:rsid w:val="00A65D82"/>
    <w:rsid w:val="00A6608D"/>
    <w:rsid w:val="00A664F5"/>
    <w:rsid w:val="00A66513"/>
    <w:rsid w:val="00A665B1"/>
    <w:rsid w:val="00A66809"/>
    <w:rsid w:val="00A66ED6"/>
    <w:rsid w:val="00A67770"/>
    <w:rsid w:val="00A67AD7"/>
    <w:rsid w:val="00A67E6C"/>
    <w:rsid w:val="00A70628"/>
    <w:rsid w:val="00A7074F"/>
    <w:rsid w:val="00A7191C"/>
    <w:rsid w:val="00A72D2D"/>
    <w:rsid w:val="00A72FEC"/>
    <w:rsid w:val="00A73145"/>
    <w:rsid w:val="00A73BB0"/>
    <w:rsid w:val="00A74113"/>
    <w:rsid w:val="00A750C9"/>
    <w:rsid w:val="00A75FD3"/>
    <w:rsid w:val="00A763BB"/>
    <w:rsid w:val="00A76E3F"/>
    <w:rsid w:val="00A76ED8"/>
    <w:rsid w:val="00A77297"/>
    <w:rsid w:val="00A772B3"/>
    <w:rsid w:val="00A77B54"/>
    <w:rsid w:val="00A77CE2"/>
    <w:rsid w:val="00A77F42"/>
    <w:rsid w:val="00A77F79"/>
    <w:rsid w:val="00A80956"/>
    <w:rsid w:val="00A80B34"/>
    <w:rsid w:val="00A80D04"/>
    <w:rsid w:val="00A812F2"/>
    <w:rsid w:val="00A81715"/>
    <w:rsid w:val="00A817D9"/>
    <w:rsid w:val="00A81853"/>
    <w:rsid w:val="00A81B93"/>
    <w:rsid w:val="00A820AA"/>
    <w:rsid w:val="00A82170"/>
    <w:rsid w:val="00A8320C"/>
    <w:rsid w:val="00A839AC"/>
    <w:rsid w:val="00A83BE8"/>
    <w:rsid w:val="00A84364"/>
    <w:rsid w:val="00A849BE"/>
    <w:rsid w:val="00A84B81"/>
    <w:rsid w:val="00A84BBF"/>
    <w:rsid w:val="00A850DB"/>
    <w:rsid w:val="00A85BE2"/>
    <w:rsid w:val="00A85CAC"/>
    <w:rsid w:val="00A868F4"/>
    <w:rsid w:val="00A869CF"/>
    <w:rsid w:val="00A86C05"/>
    <w:rsid w:val="00A86DF3"/>
    <w:rsid w:val="00A8729C"/>
    <w:rsid w:val="00A873B4"/>
    <w:rsid w:val="00A87459"/>
    <w:rsid w:val="00A908F8"/>
    <w:rsid w:val="00A90DBF"/>
    <w:rsid w:val="00A90E82"/>
    <w:rsid w:val="00A90F03"/>
    <w:rsid w:val="00A910F3"/>
    <w:rsid w:val="00A91858"/>
    <w:rsid w:val="00A91C25"/>
    <w:rsid w:val="00A92013"/>
    <w:rsid w:val="00A925B3"/>
    <w:rsid w:val="00A931CD"/>
    <w:rsid w:val="00A93341"/>
    <w:rsid w:val="00A938D7"/>
    <w:rsid w:val="00A93AE1"/>
    <w:rsid w:val="00A93B64"/>
    <w:rsid w:val="00A93D7C"/>
    <w:rsid w:val="00A944DB"/>
    <w:rsid w:val="00A944FF"/>
    <w:rsid w:val="00A94509"/>
    <w:rsid w:val="00A948A6"/>
    <w:rsid w:val="00A94E93"/>
    <w:rsid w:val="00A951C9"/>
    <w:rsid w:val="00A95C9B"/>
    <w:rsid w:val="00A969AB"/>
    <w:rsid w:val="00A979B4"/>
    <w:rsid w:val="00AA05A7"/>
    <w:rsid w:val="00AA0CB1"/>
    <w:rsid w:val="00AA1270"/>
    <w:rsid w:val="00AA1366"/>
    <w:rsid w:val="00AA1374"/>
    <w:rsid w:val="00AA1D0A"/>
    <w:rsid w:val="00AA24AC"/>
    <w:rsid w:val="00AA2628"/>
    <w:rsid w:val="00AA4349"/>
    <w:rsid w:val="00AA4520"/>
    <w:rsid w:val="00AA4623"/>
    <w:rsid w:val="00AA49DB"/>
    <w:rsid w:val="00AA4B4E"/>
    <w:rsid w:val="00AA5686"/>
    <w:rsid w:val="00AA56DE"/>
    <w:rsid w:val="00AA59F3"/>
    <w:rsid w:val="00AA5A13"/>
    <w:rsid w:val="00AA6173"/>
    <w:rsid w:val="00AA6DFE"/>
    <w:rsid w:val="00AA7004"/>
    <w:rsid w:val="00AA7358"/>
    <w:rsid w:val="00AA7463"/>
    <w:rsid w:val="00AA75B2"/>
    <w:rsid w:val="00AA7B0D"/>
    <w:rsid w:val="00AB0756"/>
    <w:rsid w:val="00AB1066"/>
    <w:rsid w:val="00AB1143"/>
    <w:rsid w:val="00AB148B"/>
    <w:rsid w:val="00AB1623"/>
    <w:rsid w:val="00AB1837"/>
    <w:rsid w:val="00AB1AD8"/>
    <w:rsid w:val="00AB2579"/>
    <w:rsid w:val="00AB32F8"/>
    <w:rsid w:val="00AB4260"/>
    <w:rsid w:val="00AB434F"/>
    <w:rsid w:val="00AB4967"/>
    <w:rsid w:val="00AB51B8"/>
    <w:rsid w:val="00AB57A6"/>
    <w:rsid w:val="00AB64B3"/>
    <w:rsid w:val="00AB6B0E"/>
    <w:rsid w:val="00AB6BBD"/>
    <w:rsid w:val="00AB6DBB"/>
    <w:rsid w:val="00AB7960"/>
    <w:rsid w:val="00AC04F3"/>
    <w:rsid w:val="00AC0685"/>
    <w:rsid w:val="00AC0841"/>
    <w:rsid w:val="00AC1C3E"/>
    <w:rsid w:val="00AC1DE4"/>
    <w:rsid w:val="00AC2158"/>
    <w:rsid w:val="00AC2935"/>
    <w:rsid w:val="00AC3060"/>
    <w:rsid w:val="00AC3C8B"/>
    <w:rsid w:val="00AC40EC"/>
    <w:rsid w:val="00AC4E43"/>
    <w:rsid w:val="00AC506E"/>
    <w:rsid w:val="00AC5417"/>
    <w:rsid w:val="00AC5420"/>
    <w:rsid w:val="00AC577E"/>
    <w:rsid w:val="00AC5A86"/>
    <w:rsid w:val="00AC5DAE"/>
    <w:rsid w:val="00AC7183"/>
    <w:rsid w:val="00AC742B"/>
    <w:rsid w:val="00AC7FA5"/>
    <w:rsid w:val="00AD045B"/>
    <w:rsid w:val="00AD04DE"/>
    <w:rsid w:val="00AD1074"/>
    <w:rsid w:val="00AD1CF7"/>
    <w:rsid w:val="00AD1F73"/>
    <w:rsid w:val="00AD2AEE"/>
    <w:rsid w:val="00AD3401"/>
    <w:rsid w:val="00AD3EDB"/>
    <w:rsid w:val="00AD43BE"/>
    <w:rsid w:val="00AD43BF"/>
    <w:rsid w:val="00AD4458"/>
    <w:rsid w:val="00AD46DB"/>
    <w:rsid w:val="00AD4707"/>
    <w:rsid w:val="00AD588F"/>
    <w:rsid w:val="00AD5942"/>
    <w:rsid w:val="00AD5B8F"/>
    <w:rsid w:val="00AD5E69"/>
    <w:rsid w:val="00AD5ED5"/>
    <w:rsid w:val="00AD5F20"/>
    <w:rsid w:val="00AD6519"/>
    <w:rsid w:val="00AD67B0"/>
    <w:rsid w:val="00AD68AF"/>
    <w:rsid w:val="00AD68EA"/>
    <w:rsid w:val="00AD6E68"/>
    <w:rsid w:val="00AE0485"/>
    <w:rsid w:val="00AE0DD5"/>
    <w:rsid w:val="00AE104B"/>
    <w:rsid w:val="00AE108E"/>
    <w:rsid w:val="00AE113B"/>
    <w:rsid w:val="00AE1266"/>
    <w:rsid w:val="00AE13F9"/>
    <w:rsid w:val="00AE1531"/>
    <w:rsid w:val="00AE1B32"/>
    <w:rsid w:val="00AE1BF7"/>
    <w:rsid w:val="00AE1DCD"/>
    <w:rsid w:val="00AE2626"/>
    <w:rsid w:val="00AE2699"/>
    <w:rsid w:val="00AE2911"/>
    <w:rsid w:val="00AE2F5E"/>
    <w:rsid w:val="00AE433D"/>
    <w:rsid w:val="00AE443A"/>
    <w:rsid w:val="00AE4760"/>
    <w:rsid w:val="00AE490A"/>
    <w:rsid w:val="00AE4C79"/>
    <w:rsid w:val="00AE56A6"/>
    <w:rsid w:val="00AE56FD"/>
    <w:rsid w:val="00AE672D"/>
    <w:rsid w:val="00AE685A"/>
    <w:rsid w:val="00AE689C"/>
    <w:rsid w:val="00AE6C54"/>
    <w:rsid w:val="00AE6E47"/>
    <w:rsid w:val="00AE6F92"/>
    <w:rsid w:val="00AF0219"/>
    <w:rsid w:val="00AF04C6"/>
    <w:rsid w:val="00AF057D"/>
    <w:rsid w:val="00AF0D6E"/>
    <w:rsid w:val="00AF12A3"/>
    <w:rsid w:val="00AF13D5"/>
    <w:rsid w:val="00AF1475"/>
    <w:rsid w:val="00AF158C"/>
    <w:rsid w:val="00AF24C3"/>
    <w:rsid w:val="00AF300F"/>
    <w:rsid w:val="00AF3437"/>
    <w:rsid w:val="00AF3E43"/>
    <w:rsid w:val="00AF3F35"/>
    <w:rsid w:val="00AF3FE3"/>
    <w:rsid w:val="00AF4949"/>
    <w:rsid w:val="00AF61AA"/>
    <w:rsid w:val="00AF61F0"/>
    <w:rsid w:val="00AF6362"/>
    <w:rsid w:val="00AF6DDE"/>
    <w:rsid w:val="00AF755C"/>
    <w:rsid w:val="00AF76D0"/>
    <w:rsid w:val="00AF7A68"/>
    <w:rsid w:val="00B00657"/>
    <w:rsid w:val="00B00D9E"/>
    <w:rsid w:val="00B00E61"/>
    <w:rsid w:val="00B014EA"/>
    <w:rsid w:val="00B01804"/>
    <w:rsid w:val="00B01BAA"/>
    <w:rsid w:val="00B03B3F"/>
    <w:rsid w:val="00B03D96"/>
    <w:rsid w:val="00B04557"/>
    <w:rsid w:val="00B0456E"/>
    <w:rsid w:val="00B054B4"/>
    <w:rsid w:val="00B060A0"/>
    <w:rsid w:val="00B0651D"/>
    <w:rsid w:val="00B067D9"/>
    <w:rsid w:val="00B0688A"/>
    <w:rsid w:val="00B068B4"/>
    <w:rsid w:val="00B06FA1"/>
    <w:rsid w:val="00B07078"/>
    <w:rsid w:val="00B077F1"/>
    <w:rsid w:val="00B07DD1"/>
    <w:rsid w:val="00B1000B"/>
    <w:rsid w:val="00B100B9"/>
    <w:rsid w:val="00B1058C"/>
    <w:rsid w:val="00B10DE5"/>
    <w:rsid w:val="00B120E9"/>
    <w:rsid w:val="00B12113"/>
    <w:rsid w:val="00B127B8"/>
    <w:rsid w:val="00B13235"/>
    <w:rsid w:val="00B135D7"/>
    <w:rsid w:val="00B13777"/>
    <w:rsid w:val="00B13F79"/>
    <w:rsid w:val="00B1430E"/>
    <w:rsid w:val="00B14E33"/>
    <w:rsid w:val="00B14F7E"/>
    <w:rsid w:val="00B15031"/>
    <w:rsid w:val="00B151BE"/>
    <w:rsid w:val="00B15256"/>
    <w:rsid w:val="00B15508"/>
    <w:rsid w:val="00B15A28"/>
    <w:rsid w:val="00B15BD0"/>
    <w:rsid w:val="00B1615A"/>
    <w:rsid w:val="00B16258"/>
    <w:rsid w:val="00B1627C"/>
    <w:rsid w:val="00B16359"/>
    <w:rsid w:val="00B164EC"/>
    <w:rsid w:val="00B168DD"/>
    <w:rsid w:val="00B16A35"/>
    <w:rsid w:val="00B16C13"/>
    <w:rsid w:val="00B172B2"/>
    <w:rsid w:val="00B179A3"/>
    <w:rsid w:val="00B179F1"/>
    <w:rsid w:val="00B17E09"/>
    <w:rsid w:val="00B20298"/>
    <w:rsid w:val="00B20814"/>
    <w:rsid w:val="00B20A36"/>
    <w:rsid w:val="00B20AD0"/>
    <w:rsid w:val="00B20E8D"/>
    <w:rsid w:val="00B214ED"/>
    <w:rsid w:val="00B21859"/>
    <w:rsid w:val="00B21C9F"/>
    <w:rsid w:val="00B21E24"/>
    <w:rsid w:val="00B22242"/>
    <w:rsid w:val="00B226E8"/>
    <w:rsid w:val="00B23096"/>
    <w:rsid w:val="00B23B7C"/>
    <w:rsid w:val="00B2484F"/>
    <w:rsid w:val="00B25253"/>
    <w:rsid w:val="00B264A2"/>
    <w:rsid w:val="00B269AB"/>
    <w:rsid w:val="00B26FFB"/>
    <w:rsid w:val="00B274AA"/>
    <w:rsid w:val="00B277E8"/>
    <w:rsid w:val="00B300A1"/>
    <w:rsid w:val="00B3052F"/>
    <w:rsid w:val="00B31B01"/>
    <w:rsid w:val="00B31DEF"/>
    <w:rsid w:val="00B320FA"/>
    <w:rsid w:val="00B322B2"/>
    <w:rsid w:val="00B32506"/>
    <w:rsid w:val="00B33082"/>
    <w:rsid w:val="00B33DA5"/>
    <w:rsid w:val="00B33DC6"/>
    <w:rsid w:val="00B33FE2"/>
    <w:rsid w:val="00B3405F"/>
    <w:rsid w:val="00B35C19"/>
    <w:rsid w:val="00B374EE"/>
    <w:rsid w:val="00B375FC"/>
    <w:rsid w:val="00B37FC9"/>
    <w:rsid w:val="00B4044C"/>
    <w:rsid w:val="00B405AB"/>
    <w:rsid w:val="00B40917"/>
    <w:rsid w:val="00B40EBC"/>
    <w:rsid w:val="00B40EF0"/>
    <w:rsid w:val="00B4150F"/>
    <w:rsid w:val="00B41640"/>
    <w:rsid w:val="00B42436"/>
    <w:rsid w:val="00B43612"/>
    <w:rsid w:val="00B43A3D"/>
    <w:rsid w:val="00B443BB"/>
    <w:rsid w:val="00B444A1"/>
    <w:rsid w:val="00B451E8"/>
    <w:rsid w:val="00B4582C"/>
    <w:rsid w:val="00B4663C"/>
    <w:rsid w:val="00B46D68"/>
    <w:rsid w:val="00B47126"/>
    <w:rsid w:val="00B47264"/>
    <w:rsid w:val="00B473EE"/>
    <w:rsid w:val="00B47C5A"/>
    <w:rsid w:val="00B5048E"/>
    <w:rsid w:val="00B511B3"/>
    <w:rsid w:val="00B51371"/>
    <w:rsid w:val="00B5212D"/>
    <w:rsid w:val="00B52E2C"/>
    <w:rsid w:val="00B52EEA"/>
    <w:rsid w:val="00B52F88"/>
    <w:rsid w:val="00B53BCC"/>
    <w:rsid w:val="00B53BDD"/>
    <w:rsid w:val="00B5425C"/>
    <w:rsid w:val="00B54537"/>
    <w:rsid w:val="00B54E7F"/>
    <w:rsid w:val="00B54F50"/>
    <w:rsid w:val="00B553AE"/>
    <w:rsid w:val="00B553BE"/>
    <w:rsid w:val="00B55BD8"/>
    <w:rsid w:val="00B563F2"/>
    <w:rsid w:val="00B56E83"/>
    <w:rsid w:val="00B5703A"/>
    <w:rsid w:val="00B5719B"/>
    <w:rsid w:val="00B57507"/>
    <w:rsid w:val="00B57BD8"/>
    <w:rsid w:val="00B608D7"/>
    <w:rsid w:val="00B6091A"/>
    <w:rsid w:val="00B613A5"/>
    <w:rsid w:val="00B6142C"/>
    <w:rsid w:val="00B61F70"/>
    <w:rsid w:val="00B621FC"/>
    <w:rsid w:val="00B624F2"/>
    <w:rsid w:val="00B62A49"/>
    <w:rsid w:val="00B62B78"/>
    <w:rsid w:val="00B63748"/>
    <w:rsid w:val="00B63EAA"/>
    <w:rsid w:val="00B63EED"/>
    <w:rsid w:val="00B63FCA"/>
    <w:rsid w:val="00B64362"/>
    <w:rsid w:val="00B64723"/>
    <w:rsid w:val="00B647D9"/>
    <w:rsid w:val="00B6498D"/>
    <w:rsid w:val="00B64F8D"/>
    <w:rsid w:val="00B6537F"/>
    <w:rsid w:val="00B657ED"/>
    <w:rsid w:val="00B65B1C"/>
    <w:rsid w:val="00B65CCB"/>
    <w:rsid w:val="00B662C5"/>
    <w:rsid w:val="00B66507"/>
    <w:rsid w:val="00B66745"/>
    <w:rsid w:val="00B668BF"/>
    <w:rsid w:val="00B66D69"/>
    <w:rsid w:val="00B673B2"/>
    <w:rsid w:val="00B67CD0"/>
    <w:rsid w:val="00B67F82"/>
    <w:rsid w:val="00B7058B"/>
    <w:rsid w:val="00B70AB7"/>
    <w:rsid w:val="00B70B43"/>
    <w:rsid w:val="00B716F3"/>
    <w:rsid w:val="00B7188E"/>
    <w:rsid w:val="00B71AB5"/>
    <w:rsid w:val="00B71E0A"/>
    <w:rsid w:val="00B71E97"/>
    <w:rsid w:val="00B7206E"/>
    <w:rsid w:val="00B7257C"/>
    <w:rsid w:val="00B727E1"/>
    <w:rsid w:val="00B7290E"/>
    <w:rsid w:val="00B72B64"/>
    <w:rsid w:val="00B72C68"/>
    <w:rsid w:val="00B72F88"/>
    <w:rsid w:val="00B730D1"/>
    <w:rsid w:val="00B73AA3"/>
    <w:rsid w:val="00B74083"/>
    <w:rsid w:val="00B741A0"/>
    <w:rsid w:val="00B745BC"/>
    <w:rsid w:val="00B74788"/>
    <w:rsid w:val="00B747A7"/>
    <w:rsid w:val="00B758D7"/>
    <w:rsid w:val="00B76A1B"/>
    <w:rsid w:val="00B76B9D"/>
    <w:rsid w:val="00B7784C"/>
    <w:rsid w:val="00B80591"/>
    <w:rsid w:val="00B80B83"/>
    <w:rsid w:val="00B80CB0"/>
    <w:rsid w:val="00B80F52"/>
    <w:rsid w:val="00B81023"/>
    <w:rsid w:val="00B81C90"/>
    <w:rsid w:val="00B821A8"/>
    <w:rsid w:val="00B821C3"/>
    <w:rsid w:val="00B82643"/>
    <w:rsid w:val="00B82852"/>
    <w:rsid w:val="00B82B77"/>
    <w:rsid w:val="00B82BA2"/>
    <w:rsid w:val="00B833C4"/>
    <w:rsid w:val="00B8383C"/>
    <w:rsid w:val="00B83BE1"/>
    <w:rsid w:val="00B84004"/>
    <w:rsid w:val="00B84774"/>
    <w:rsid w:val="00B8554F"/>
    <w:rsid w:val="00B85577"/>
    <w:rsid w:val="00B8587F"/>
    <w:rsid w:val="00B85D92"/>
    <w:rsid w:val="00B85DF5"/>
    <w:rsid w:val="00B85EDE"/>
    <w:rsid w:val="00B863EE"/>
    <w:rsid w:val="00B866DA"/>
    <w:rsid w:val="00B868F0"/>
    <w:rsid w:val="00B87077"/>
    <w:rsid w:val="00B874CB"/>
    <w:rsid w:val="00B87AAF"/>
    <w:rsid w:val="00B87DA1"/>
    <w:rsid w:val="00B903E2"/>
    <w:rsid w:val="00B90715"/>
    <w:rsid w:val="00B90CDE"/>
    <w:rsid w:val="00B912DA"/>
    <w:rsid w:val="00B919D1"/>
    <w:rsid w:val="00B91C1F"/>
    <w:rsid w:val="00B92633"/>
    <w:rsid w:val="00B92C83"/>
    <w:rsid w:val="00B92D3C"/>
    <w:rsid w:val="00B92D63"/>
    <w:rsid w:val="00B931DA"/>
    <w:rsid w:val="00B93267"/>
    <w:rsid w:val="00B94137"/>
    <w:rsid w:val="00B94E74"/>
    <w:rsid w:val="00B9517A"/>
    <w:rsid w:val="00B95929"/>
    <w:rsid w:val="00B95EEF"/>
    <w:rsid w:val="00B962E5"/>
    <w:rsid w:val="00B96309"/>
    <w:rsid w:val="00B964BD"/>
    <w:rsid w:val="00B9657F"/>
    <w:rsid w:val="00B97E96"/>
    <w:rsid w:val="00BA02C2"/>
    <w:rsid w:val="00BA0836"/>
    <w:rsid w:val="00BA0AEA"/>
    <w:rsid w:val="00BA0DAA"/>
    <w:rsid w:val="00BA156E"/>
    <w:rsid w:val="00BA1C7B"/>
    <w:rsid w:val="00BA1FB3"/>
    <w:rsid w:val="00BA2477"/>
    <w:rsid w:val="00BA2DB9"/>
    <w:rsid w:val="00BA3EA3"/>
    <w:rsid w:val="00BA3FE0"/>
    <w:rsid w:val="00BA4345"/>
    <w:rsid w:val="00BA4642"/>
    <w:rsid w:val="00BA48A0"/>
    <w:rsid w:val="00BA4C02"/>
    <w:rsid w:val="00BA543C"/>
    <w:rsid w:val="00BA584F"/>
    <w:rsid w:val="00BA5A00"/>
    <w:rsid w:val="00BA5FD9"/>
    <w:rsid w:val="00BA601B"/>
    <w:rsid w:val="00BA62E2"/>
    <w:rsid w:val="00BA647C"/>
    <w:rsid w:val="00BA6616"/>
    <w:rsid w:val="00BA6AC2"/>
    <w:rsid w:val="00BA6BF9"/>
    <w:rsid w:val="00BA6D12"/>
    <w:rsid w:val="00BA787D"/>
    <w:rsid w:val="00BB0540"/>
    <w:rsid w:val="00BB0A26"/>
    <w:rsid w:val="00BB11C3"/>
    <w:rsid w:val="00BB199E"/>
    <w:rsid w:val="00BB1A69"/>
    <w:rsid w:val="00BB2057"/>
    <w:rsid w:val="00BB224B"/>
    <w:rsid w:val="00BB2460"/>
    <w:rsid w:val="00BB2846"/>
    <w:rsid w:val="00BB29D7"/>
    <w:rsid w:val="00BB2E81"/>
    <w:rsid w:val="00BB329B"/>
    <w:rsid w:val="00BB32E6"/>
    <w:rsid w:val="00BB3609"/>
    <w:rsid w:val="00BB3634"/>
    <w:rsid w:val="00BB3788"/>
    <w:rsid w:val="00BB3AFA"/>
    <w:rsid w:val="00BB3D99"/>
    <w:rsid w:val="00BB41CE"/>
    <w:rsid w:val="00BB43FA"/>
    <w:rsid w:val="00BB440C"/>
    <w:rsid w:val="00BB4785"/>
    <w:rsid w:val="00BB47BA"/>
    <w:rsid w:val="00BB4862"/>
    <w:rsid w:val="00BB4B6E"/>
    <w:rsid w:val="00BB52A7"/>
    <w:rsid w:val="00BB53C3"/>
    <w:rsid w:val="00BB542E"/>
    <w:rsid w:val="00BB5913"/>
    <w:rsid w:val="00BB610B"/>
    <w:rsid w:val="00BB6272"/>
    <w:rsid w:val="00BB685A"/>
    <w:rsid w:val="00BC025C"/>
    <w:rsid w:val="00BC043B"/>
    <w:rsid w:val="00BC0531"/>
    <w:rsid w:val="00BC1108"/>
    <w:rsid w:val="00BC12CB"/>
    <w:rsid w:val="00BC17C8"/>
    <w:rsid w:val="00BC18E4"/>
    <w:rsid w:val="00BC1EFC"/>
    <w:rsid w:val="00BC24EB"/>
    <w:rsid w:val="00BC2BBC"/>
    <w:rsid w:val="00BC2FA4"/>
    <w:rsid w:val="00BC3BBB"/>
    <w:rsid w:val="00BC4017"/>
    <w:rsid w:val="00BC45F9"/>
    <w:rsid w:val="00BC53A1"/>
    <w:rsid w:val="00BC6F58"/>
    <w:rsid w:val="00BC740C"/>
    <w:rsid w:val="00BC7719"/>
    <w:rsid w:val="00BC7BFF"/>
    <w:rsid w:val="00BC7F06"/>
    <w:rsid w:val="00BD013D"/>
    <w:rsid w:val="00BD06F5"/>
    <w:rsid w:val="00BD078D"/>
    <w:rsid w:val="00BD0964"/>
    <w:rsid w:val="00BD0E02"/>
    <w:rsid w:val="00BD20DB"/>
    <w:rsid w:val="00BD2258"/>
    <w:rsid w:val="00BD29CB"/>
    <w:rsid w:val="00BD2AA2"/>
    <w:rsid w:val="00BD2CE7"/>
    <w:rsid w:val="00BD2F70"/>
    <w:rsid w:val="00BD3200"/>
    <w:rsid w:val="00BD3A01"/>
    <w:rsid w:val="00BD4340"/>
    <w:rsid w:val="00BD4BED"/>
    <w:rsid w:val="00BD539D"/>
    <w:rsid w:val="00BD553C"/>
    <w:rsid w:val="00BD55C4"/>
    <w:rsid w:val="00BD5773"/>
    <w:rsid w:val="00BD5E0A"/>
    <w:rsid w:val="00BD5E97"/>
    <w:rsid w:val="00BD60B1"/>
    <w:rsid w:val="00BD6108"/>
    <w:rsid w:val="00BD6622"/>
    <w:rsid w:val="00BD67FB"/>
    <w:rsid w:val="00BD745B"/>
    <w:rsid w:val="00BD794A"/>
    <w:rsid w:val="00BD7ADB"/>
    <w:rsid w:val="00BD7D15"/>
    <w:rsid w:val="00BE0095"/>
    <w:rsid w:val="00BE0269"/>
    <w:rsid w:val="00BE0969"/>
    <w:rsid w:val="00BE0A01"/>
    <w:rsid w:val="00BE0ABD"/>
    <w:rsid w:val="00BE0F62"/>
    <w:rsid w:val="00BE0FFF"/>
    <w:rsid w:val="00BE12A0"/>
    <w:rsid w:val="00BE1481"/>
    <w:rsid w:val="00BE16F8"/>
    <w:rsid w:val="00BE18AE"/>
    <w:rsid w:val="00BE1995"/>
    <w:rsid w:val="00BE2397"/>
    <w:rsid w:val="00BE2774"/>
    <w:rsid w:val="00BE2917"/>
    <w:rsid w:val="00BE2991"/>
    <w:rsid w:val="00BE2AEB"/>
    <w:rsid w:val="00BE305C"/>
    <w:rsid w:val="00BE3979"/>
    <w:rsid w:val="00BE3E0F"/>
    <w:rsid w:val="00BE4289"/>
    <w:rsid w:val="00BE44BF"/>
    <w:rsid w:val="00BE4E57"/>
    <w:rsid w:val="00BE51FA"/>
    <w:rsid w:val="00BE584B"/>
    <w:rsid w:val="00BE5B44"/>
    <w:rsid w:val="00BE5D55"/>
    <w:rsid w:val="00BE5F54"/>
    <w:rsid w:val="00BE67B3"/>
    <w:rsid w:val="00BE689B"/>
    <w:rsid w:val="00BE6E08"/>
    <w:rsid w:val="00BE6E86"/>
    <w:rsid w:val="00BE7462"/>
    <w:rsid w:val="00BE7868"/>
    <w:rsid w:val="00BE7C67"/>
    <w:rsid w:val="00BE7F5E"/>
    <w:rsid w:val="00BF033A"/>
    <w:rsid w:val="00BF05F3"/>
    <w:rsid w:val="00BF0B03"/>
    <w:rsid w:val="00BF0EFD"/>
    <w:rsid w:val="00BF165C"/>
    <w:rsid w:val="00BF175A"/>
    <w:rsid w:val="00BF1883"/>
    <w:rsid w:val="00BF18D3"/>
    <w:rsid w:val="00BF2B84"/>
    <w:rsid w:val="00BF3501"/>
    <w:rsid w:val="00BF39A7"/>
    <w:rsid w:val="00BF3D57"/>
    <w:rsid w:val="00BF537E"/>
    <w:rsid w:val="00BF5738"/>
    <w:rsid w:val="00BF5DEF"/>
    <w:rsid w:val="00BF6340"/>
    <w:rsid w:val="00BF691D"/>
    <w:rsid w:val="00BF6B4B"/>
    <w:rsid w:val="00BF6CFC"/>
    <w:rsid w:val="00BF6EDB"/>
    <w:rsid w:val="00BF6FE9"/>
    <w:rsid w:val="00C00021"/>
    <w:rsid w:val="00C012F7"/>
    <w:rsid w:val="00C01C40"/>
    <w:rsid w:val="00C02016"/>
    <w:rsid w:val="00C035F9"/>
    <w:rsid w:val="00C037F2"/>
    <w:rsid w:val="00C04131"/>
    <w:rsid w:val="00C0542E"/>
    <w:rsid w:val="00C0544E"/>
    <w:rsid w:val="00C05724"/>
    <w:rsid w:val="00C05F7D"/>
    <w:rsid w:val="00C065AB"/>
    <w:rsid w:val="00C06B79"/>
    <w:rsid w:val="00C06D8D"/>
    <w:rsid w:val="00C077CE"/>
    <w:rsid w:val="00C077D2"/>
    <w:rsid w:val="00C07F5F"/>
    <w:rsid w:val="00C1008E"/>
    <w:rsid w:val="00C101A9"/>
    <w:rsid w:val="00C1076E"/>
    <w:rsid w:val="00C10809"/>
    <w:rsid w:val="00C10F1D"/>
    <w:rsid w:val="00C11402"/>
    <w:rsid w:val="00C11494"/>
    <w:rsid w:val="00C115B6"/>
    <w:rsid w:val="00C1165D"/>
    <w:rsid w:val="00C11A48"/>
    <w:rsid w:val="00C12269"/>
    <w:rsid w:val="00C125C9"/>
    <w:rsid w:val="00C1272F"/>
    <w:rsid w:val="00C129D4"/>
    <w:rsid w:val="00C12BA0"/>
    <w:rsid w:val="00C137E8"/>
    <w:rsid w:val="00C13E45"/>
    <w:rsid w:val="00C13E9E"/>
    <w:rsid w:val="00C147D4"/>
    <w:rsid w:val="00C14C6B"/>
    <w:rsid w:val="00C14E89"/>
    <w:rsid w:val="00C15CD2"/>
    <w:rsid w:val="00C168CD"/>
    <w:rsid w:val="00C1730E"/>
    <w:rsid w:val="00C200AC"/>
    <w:rsid w:val="00C20A5A"/>
    <w:rsid w:val="00C20B87"/>
    <w:rsid w:val="00C20EBB"/>
    <w:rsid w:val="00C21014"/>
    <w:rsid w:val="00C21015"/>
    <w:rsid w:val="00C21414"/>
    <w:rsid w:val="00C21B3A"/>
    <w:rsid w:val="00C21B94"/>
    <w:rsid w:val="00C21C31"/>
    <w:rsid w:val="00C21F74"/>
    <w:rsid w:val="00C233B2"/>
    <w:rsid w:val="00C238C4"/>
    <w:rsid w:val="00C23E56"/>
    <w:rsid w:val="00C23FAF"/>
    <w:rsid w:val="00C23FC9"/>
    <w:rsid w:val="00C24461"/>
    <w:rsid w:val="00C2480A"/>
    <w:rsid w:val="00C24FB1"/>
    <w:rsid w:val="00C24FDF"/>
    <w:rsid w:val="00C25520"/>
    <w:rsid w:val="00C256E0"/>
    <w:rsid w:val="00C25920"/>
    <w:rsid w:val="00C25D1F"/>
    <w:rsid w:val="00C25E14"/>
    <w:rsid w:val="00C277F7"/>
    <w:rsid w:val="00C27DEF"/>
    <w:rsid w:val="00C30591"/>
    <w:rsid w:val="00C30668"/>
    <w:rsid w:val="00C306DB"/>
    <w:rsid w:val="00C30D50"/>
    <w:rsid w:val="00C3120A"/>
    <w:rsid w:val="00C317F2"/>
    <w:rsid w:val="00C31D63"/>
    <w:rsid w:val="00C31F8D"/>
    <w:rsid w:val="00C32BEF"/>
    <w:rsid w:val="00C32E83"/>
    <w:rsid w:val="00C33785"/>
    <w:rsid w:val="00C3422A"/>
    <w:rsid w:val="00C343A1"/>
    <w:rsid w:val="00C34452"/>
    <w:rsid w:val="00C347AF"/>
    <w:rsid w:val="00C347D9"/>
    <w:rsid w:val="00C34B57"/>
    <w:rsid w:val="00C34E0E"/>
    <w:rsid w:val="00C357BA"/>
    <w:rsid w:val="00C35AC6"/>
    <w:rsid w:val="00C35DAF"/>
    <w:rsid w:val="00C35EFF"/>
    <w:rsid w:val="00C35F0A"/>
    <w:rsid w:val="00C35F84"/>
    <w:rsid w:val="00C36045"/>
    <w:rsid w:val="00C36425"/>
    <w:rsid w:val="00C36555"/>
    <w:rsid w:val="00C365AF"/>
    <w:rsid w:val="00C36F1A"/>
    <w:rsid w:val="00C36F28"/>
    <w:rsid w:val="00C401C9"/>
    <w:rsid w:val="00C401D9"/>
    <w:rsid w:val="00C40CA0"/>
    <w:rsid w:val="00C412BF"/>
    <w:rsid w:val="00C4140F"/>
    <w:rsid w:val="00C41720"/>
    <w:rsid w:val="00C41AC6"/>
    <w:rsid w:val="00C41ACB"/>
    <w:rsid w:val="00C420BC"/>
    <w:rsid w:val="00C42702"/>
    <w:rsid w:val="00C431EA"/>
    <w:rsid w:val="00C43A49"/>
    <w:rsid w:val="00C43A7A"/>
    <w:rsid w:val="00C4402D"/>
    <w:rsid w:val="00C44A23"/>
    <w:rsid w:val="00C44A46"/>
    <w:rsid w:val="00C44D20"/>
    <w:rsid w:val="00C44E11"/>
    <w:rsid w:val="00C451B2"/>
    <w:rsid w:val="00C4546F"/>
    <w:rsid w:val="00C4637C"/>
    <w:rsid w:val="00C46522"/>
    <w:rsid w:val="00C469D9"/>
    <w:rsid w:val="00C50A09"/>
    <w:rsid w:val="00C50D88"/>
    <w:rsid w:val="00C51C87"/>
    <w:rsid w:val="00C52388"/>
    <w:rsid w:val="00C52D32"/>
    <w:rsid w:val="00C52E69"/>
    <w:rsid w:val="00C53110"/>
    <w:rsid w:val="00C532E8"/>
    <w:rsid w:val="00C53B0C"/>
    <w:rsid w:val="00C53C21"/>
    <w:rsid w:val="00C53E4B"/>
    <w:rsid w:val="00C54F4B"/>
    <w:rsid w:val="00C55717"/>
    <w:rsid w:val="00C5585C"/>
    <w:rsid w:val="00C55BBA"/>
    <w:rsid w:val="00C55F99"/>
    <w:rsid w:val="00C56072"/>
    <w:rsid w:val="00C56B9C"/>
    <w:rsid w:val="00C56C58"/>
    <w:rsid w:val="00C56CCA"/>
    <w:rsid w:val="00C56F56"/>
    <w:rsid w:val="00C57325"/>
    <w:rsid w:val="00C57354"/>
    <w:rsid w:val="00C57A73"/>
    <w:rsid w:val="00C600C0"/>
    <w:rsid w:val="00C60A8A"/>
    <w:rsid w:val="00C60FBD"/>
    <w:rsid w:val="00C6161C"/>
    <w:rsid w:val="00C6190C"/>
    <w:rsid w:val="00C61973"/>
    <w:rsid w:val="00C61CBF"/>
    <w:rsid w:val="00C62209"/>
    <w:rsid w:val="00C62277"/>
    <w:rsid w:val="00C62937"/>
    <w:rsid w:val="00C62C0D"/>
    <w:rsid w:val="00C62E62"/>
    <w:rsid w:val="00C63296"/>
    <w:rsid w:val="00C63518"/>
    <w:rsid w:val="00C6395A"/>
    <w:rsid w:val="00C64071"/>
    <w:rsid w:val="00C642D1"/>
    <w:rsid w:val="00C64A65"/>
    <w:rsid w:val="00C666B6"/>
    <w:rsid w:val="00C6767F"/>
    <w:rsid w:val="00C67B31"/>
    <w:rsid w:val="00C67FDE"/>
    <w:rsid w:val="00C707F4"/>
    <w:rsid w:val="00C70A41"/>
    <w:rsid w:val="00C70A45"/>
    <w:rsid w:val="00C7116E"/>
    <w:rsid w:val="00C715B9"/>
    <w:rsid w:val="00C721E3"/>
    <w:rsid w:val="00C73645"/>
    <w:rsid w:val="00C737FF"/>
    <w:rsid w:val="00C73AD4"/>
    <w:rsid w:val="00C73B2B"/>
    <w:rsid w:val="00C74149"/>
    <w:rsid w:val="00C74205"/>
    <w:rsid w:val="00C746BB"/>
    <w:rsid w:val="00C74FC4"/>
    <w:rsid w:val="00C755E3"/>
    <w:rsid w:val="00C75A54"/>
    <w:rsid w:val="00C7715B"/>
    <w:rsid w:val="00C777B1"/>
    <w:rsid w:val="00C77ACC"/>
    <w:rsid w:val="00C77ECB"/>
    <w:rsid w:val="00C811F4"/>
    <w:rsid w:val="00C813D2"/>
    <w:rsid w:val="00C81932"/>
    <w:rsid w:val="00C81994"/>
    <w:rsid w:val="00C828E1"/>
    <w:rsid w:val="00C8291A"/>
    <w:rsid w:val="00C836D9"/>
    <w:rsid w:val="00C83E6C"/>
    <w:rsid w:val="00C8463E"/>
    <w:rsid w:val="00C84C96"/>
    <w:rsid w:val="00C8507E"/>
    <w:rsid w:val="00C85266"/>
    <w:rsid w:val="00C85950"/>
    <w:rsid w:val="00C8684F"/>
    <w:rsid w:val="00C86AC7"/>
    <w:rsid w:val="00C86D6C"/>
    <w:rsid w:val="00C86E4E"/>
    <w:rsid w:val="00C87EC0"/>
    <w:rsid w:val="00C87F6D"/>
    <w:rsid w:val="00C9026C"/>
    <w:rsid w:val="00C9033D"/>
    <w:rsid w:val="00C903B2"/>
    <w:rsid w:val="00C904B4"/>
    <w:rsid w:val="00C90797"/>
    <w:rsid w:val="00C91678"/>
    <w:rsid w:val="00C9176E"/>
    <w:rsid w:val="00C9182E"/>
    <w:rsid w:val="00C918F8"/>
    <w:rsid w:val="00C91C57"/>
    <w:rsid w:val="00C927FF"/>
    <w:rsid w:val="00C92A41"/>
    <w:rsid w:val="00C92C4D"/>
    <w:rsid w:val="00C932B4"/>
    <w:rsid w:val="00C9370A"/>
    <w:rsid w:val="00C945E5"/>
    <w:rsid w:val="00C94EC7"/>
    <w:rsid w:val="00C95006"/>
    <w:rsid w:val="00C950A0"/>
    <w:rsid w:val="00C95996"/>
    <w:rsid w:val="00C95BDD"/>
    <w:rsid w:val="00C95C08"/>
    <w:rsid w:val="00C95D7C"/>
    <w:rsid w:val="00C9643E"/>
    <w:rsid w:val="00C968EE"/>
    <w:rsid w:val="00C96D1C"/>
    <w:rsid w:val="00C96E2E"/>
    <w:rsid w:val="00C97BE9"/>
    <w:rsid w:val="00C97C9F"/>
    <w:rsid w:val="00C97EB9"/>
    <w:rsid w:val="00CA0251"/>
    <w:rsid w:val="00CA02ED"/>
    <w:rsid w:val="00CA0458"/>
    <w:rsid w:val="00CA0558"/>
    <w:rsid w:val="00CA0F66"/>
    <w:rsid w:val="00CA10DF"/>
    <w:rsid w:val="00CA1699"/>
    <w:rsid w:val="00CA1790"/>
    <w:rsid w:val="00CA2051"/>
    <w:rsid w:val="00CA2352"/>
    <w:rsid w:val="00CA24C4"/>
    <w:rsid w:val="00CA289E"/>
    <w:rsid w:val="00CA2E65"/>
    <w:rsid w:val="00CA2E82"/>
    <w:rsid w:val="00CA4295"/>
    <w:rsid w:val="00CA4A1E"/>
    <w:rsid w:val="00CA4A8A"/>
    <w:rsid w:val="00CA5171"/>
    <w:rsid w:val="00CA5657"/>
    <w:rsid w:val="00CA5930"/>
    <w:rsid w:val="00CA620C"/>
    <w:rsid w:val="00CA6AB8"/>
    <w:rsid w:val="00CA7503"/>
    <w:rsid w:val="00CA7845"/>
    <w:rsid w:val="00CA7E38"/>
    <w:rsid w:val="00CB037C"/>
    <w:rsid w:val="00CB04EC"/>
    <w:rsid w:val="00CB07AA"/>
    <w:rsid w:val="00CB089C"/>
    <w:rsid w:val="00CB0A34"/>
    <w:rsid w:val="00CB0CC7"/>
    <w:rsid w:val="00CB11E8"/>
    <w:rsid w:val="00CB17ED"/>
    <w:rsid w:val="00CB1971"/>
    <w:rsid w:val="00CB1BCD"/>
    <w:rsid w:val="00CB20D0"/>
    <w:rsid w:val="00CB22F8"/>
    <w:rsid w:val="00CB2826"/>
    <w:rsid w:val="00CB3220"/>
    <w:rsid w:val="00CB3FC9"/>
    <w:rsid w:val="00CB43F1"/>
    <w:rsid w:val="00CB4B26"/>
    <w:rsid w:val="00CB56C0"/>
    <w:rsid w:val="00CB5C01"/>
    <w:rsid w:val="00CB6288"/>
    <w:rsid w:val="00CB6616"/>
    <w:rsid w:val="00CB756C"/>
    <w:rsid w:val="00CC04B4"/>
    <w:rsid w:val="00CC0B55"/>
    <w:rsid w:val="00CC0CF4"/>
    <w:rsid w:val="00CC0D58"/>
    <w:rsid w:val="00CC10D7"/>
    <w:rsid w:val="00CC1814"/>
    <w:rsid w:val="00CC1B80"/>
    <w:rsid w:val="00CC1FA9"/>
    <w:rsid w:val="00CC260B"/>
    <w:rsid w:val="00CC28D7"/>
    <w:rsid w:val="00CC4328"/>
    <w:rsid w:val="00CC464A"/>
    <w:rsid w:val="00CC4810"/>
    <w:rsid w:val="00CC49CE"/>
    <w:rsid w:val="00CC4A31"/>
    <w:rsid w:val="00CC53A2"/>
    <w:rsid w:val="00CC6113"/>
    <w:rsid w:val="00CC62A8"/>
    <w:rsid w:val="00CC7160"/>
    <w:rsid w:val="00CC72EC"/>
    <w:rsid w:val="00CC7FEA"/>
    <w:rsid w:val="00CD08A4"/>
    <w:rsid w:val="00CD08BE"/>
    <w:rsid w:val="00CD0E0B"/>
    <w:rsid w:val="00CD1533"/>
    <w:rsid w:val="00CD20BF"/>
    <w:rsid w:val="00CD2976"/>
    <w:rsid w:val="00CD29D1"/>
    <w:rsid w:val="00CD29EA"/>
    <w:rsid w:val="00CD2A2C"/>
    <w:rsid w:val="00CD2ACA"/>
    <w:rsid w:val="00CD2B28"/>
    <w:rsid w:val="00CD30BE"/>
    <w:rsid w:val="00CD3CCF"/>
    <w:rsid w:val="00CD49EF"/>
    <w:rsid w:val="00CD4ACF"/>
    <w:rsid w:val="00CD50C9"/>
    <w:rsid w:val="00CD5A3E"/>
    <w:rsid w:val="00CD5DE2"/>
    <w:rsid w:val="00CD78D0"/>
    <w:rsid w:val="00CD7E06"/>
    <w:rsid w:val="00CE043A"/>
    <w:rsid w:val="00CE118E"/>
    <w:rsid w:val="00CE1DA2"/>
    <w:rsid w:val="00CE1F7F"/>
    <w:rsid w:val="00CE24FC"/>
    <w:rsid w:val="00CE2571"/>
    <w:rsid w:val="00CE27F5"/>
    <w:rsid w:val="00CE2CA2"/>
    <w:rsid w:val="00CE2D6B"/>
    <w:rsid w:val="00CE2D98"/>
    <w:rsid w:val="00CE36BA"/>
    <w:rsid w:val="00CE3BB6"/>
    <w:rsid w:val="00CE4218"/>
    <w:rsid w:val="00CE45AD"/>
    <w:rsid w:val="00CE479C"/>
    <w:rsid w:val="00CE4CE9"/>
    <w:rsid w:val="00CE542B"/>
    <w:rsid w:val="00CE5A95"/>
    <w:rsid w:val="00CE5D35"/>
    <w:rsid w:val="00CE622F"/>
    <w:rsid w:val="00CE63ED"/>
    <w:rsid w:val="00CF0135"/>
    <w:rsid w:val="00CF11CA"/>
    <w:rsid w:val="00CF280A"/>
    <w:rsid w:val="00CF2B4D"/>
    <w:rsid w:val="00CF2FAF"/>
    <w:rsid w:val="00CF31C7"/>
    <w:rsid w:val="00CF36D3"/>
    <w:rsid w:val="00CF3B3D"/>
    <w:rsid w:val="00CF3DC2"/>
    <w:rsid w:val="00CF3E0B"/>
    <w:rsid w:val="00CF4025"/>
    <w:rsid w:val="00CF43BF"/>
    <w:rsid w:val="00CF4DA2"/>
    <w:rsid w:val="00CF4F73"/>
    <w:rsid w:val="00CF6859"/>
    <w:rsid w:val="00CF7118"/>
    <w:rsid w:val="00D0045E"/>
    <w:rsid w:val="00D004B4"/>
    <w:rsid w:val="00D00930"/>
    <w:rsid w:val="00D00A04"/>
    <w:rsid w:val="00D00C45"/>
    <w:rsid w:val="00D01152"/>
    <w:rsid w:val="00D0134B"/>
    <w:rsid w:val="00D0162D"/>
    <w:rsid w:val="00D016D4"/>
    <w:rsid w:val="00D0176E"/>
    <w:rsid w:val="00D0191D"/>
    <w:rsid w:val="00D020E1"/>
    <w:rsid w:val="00D02BC7"/>
    <w:rsid w:val="00D033D1"/>
    <w:rsid w:val="00D03B4A"/>
    <w:rsid w:val="00D03E68"/>
    <w:rsid w:val="00D04140"/>
    <w:rsid w:val="00D04810"/>
    <w:rsid w:val="00D04AA9"/>
    <w:rsid w:val="00D0557D"/>
    <w:rsid w:val="00D05640"/>
    <w:rsid w:val="00D05BBB"/>
    <w:rsid w:val="00D0656D"/>
    <w:rsid w:val="00D06FF2"/>
    <w:rsid w:val="00D072D3"/>
    <w:rsid w:val="00D07DC6"/>
    <w:rsid w:val="00D07F30"/>
    <w:rsid w:val="00D1027F"/>
    <w:rsid w:val="00D10BF7"/>
    <w:rsid w:val="00D11895"/>
    <w:rsid w:val="00D11B40"/>
    <w:rsid w:val="00D12A79"/>
    <w:rsid w:val="00D1304B"/>
    <w:rsid w:val="00D135D3"/>
    <w:rsid w:val="00D13808"/>
    <w:rsid w:val="00D13C47"/>
    <w:rsid w:val="00D14D5E"/>
    <w:rsid w:val="00D14F65"/>
    <w:rsid w:val="00D156B8"/>
    <w:rsid w:val="00D157B7"/>
    <w:rsid w:val="00D15AD7"/>
    <w:rsid w:val="00D1715E"/>
    <w:rsid w:val="00D1721F"/>
    <w:rsid w:val="00D17DF1"/>
    <w:rsid w:val="00D17EDA"/>
    <w:rsid w:val="00D17F75"/>
    <w:rsid w:val="00D20335"/>
    <w:rsid w:val="00D20914"/>
    <w:rsid w:val="00D21E8C"/>
    <w:rsid w:val="00D21FB2"/>
    <w:rsid w:val="00D227FE"/>
    <w:rsid w:val="00D22838"/>
    <w:rsid w:val="00D229E0"/>
    <w:rsid w:val="00D23622"/>
    <w:rsid w:val="00D23E1D"/>
    <w:rsid w:val="00D23E4D"/>
    <w:rsid w:val="00D248A2"/>
    <w:rsid w:val="00D24AE0"/>
    <w:rsid w:val="00D25194"/>
    <w:rsid w:val="00D259A6"/>
    <w:rsid w:val="00D25F9C"/>
    <w:rsid w:val="00D26393"/>
    <w:rsid w:val="00D264D1"/>
    <w:rsid w:val="00D264F5"/>
    <w:rsid w:val="00D26608"/>
    <w:rsid w:val="00D26AEE"/>
    <w:rsid w:val="00D26BB0"/>
    <w:rsid w:val="00D26CD3"/>
    <w:rsid w:val="00D2746F"/>
    <w:rsid w:val="00D279AE"/>
    <w:rsid w:val="00D27D9C"/>
    <w:rsid w:val="00D30B7D"/>
    <w:rsid w:val="00D3177E"/>
    <w:rsid w:val="00D319A3"/>
    <w:rsid w:val="00D32C48"/>
    <w:rsid w:val="00D32FDB"/>
    <w:rsid w:val="00D33665"/>
    <w:rsid w:val="00D33C6D"/>
    <w:rsid w:val="00D344ED"/>
    <w:rsid w:val="00D35543"/>
    <w:rsid w:val="00D35ADF"/>
    <w:rsid w:val="00D3639E"/>
    <w:rsid w:val="00D37460"/>
    <w:rsid w:val="00D40A7F"/>
    <w:rsid w:val="00D40DC6"/>
    <w:rsid w:val="00D413A5"/>
    <w:rsid w:val="00D4186E"/>
    <w:rsid w:val="00D4225E"/>
    <w:rsid w:val="00D42553"/>
    <w:rsid w:val="00D42888"/>
    <w:rsid w:val="00D42A76"/>
    <w:rsid w:val="00D4308A"/>
    <w:rsid w:val="00D44109"/>
    <w:rsid w:val="00D44338"/>
    <w:rsid w:val="00D4444D"/>
    <w:rsid w:val="00D44581"/>
    <w:rsid w:val="00D449EE"/>
    <w:rsid w:val="00D44D65"/>
    <w:rsid w:val="00D44DCE"/>
    <w:rsid w:val="00D44F69"/>
    <w:rsid w:val="00D4584A"/>
    <w:rsid w:val="00D4585F"/>
    <w:rsid w:val="00D461F0"/>
    <w:rsid w:val="00D4668C"/>
    <w:rsid w:val="00D467EC"/>
    <w:rsid w:val="00D46A69"/>
    <w:rsid w:val="00D46D10"/>
    <w:rsid w:val="00D4732B"/>
    <w:rsid w:val="00D47543"/>
    <w:rsid w:val="00D4772F"/>
    <w:rsid w:val="00D4798C"/>
    <w:rsid w:val="00D47ED4"/>
    <w:rsid w:val="00D50683"/>
    <w:rsid w:val="00D50A0E"/>
    <w:rsid w:val="00D50FAD"/>
    <w:rsid w:val="00D5104B"/>
    <w:rsid w:val="00D5156B"/>
    <w:rsid w:val="00D517CA"/>
    <w:rsid w:val="00D520B3"/>
    <w:rsid w:val="00D5269D"/>
    <w:rsid w:val="00D52DE4"/>
    <w:rsid w:val="00D5392C"/>
    <w:rsid w:val="00D53C23"/>
    <w:rsid w:val="00D53E35"/>
    <w:rsid w:val="00D53E86"/>
    <w:rsid w:val="00D53F3E"/>
    <w:rsid w:val="00D53FBE"/>
    <w:rsid w:val="00D54097"/>
    <w:rsid w:val="00D54B28"/>
    <w:rsid w:val="00D54BAD"/>
    <w:rsid w:val="00D559B1"/>
    <w:rsid w:val="00D56154"/>
    <w:rsid w:val="00D562C2"/>
    <w:rsid w:val="00D56E5C"/>
    <w:rsid w:val="00D56F71"/>
    <w:rsid w:val="00D57C1D"/>
    <w:rsid w:val="00D57CD3"/>
    <w:rsid w:val="00D600E6"/>
    <w:rsid w:val="00D60636"/>
    <w:rsid w:val="00D60AE7"/>
    <w:rsid w:val="00D60AE8"/>
    <w:rsid w:val="00D61D8D"/>
    <w:rsid w:val="00D61FD0"/>
    <w:rsid w:val="00D6201E"/>
    <w:rsid w:val="00D6239B"/>
    <w:rsid w:val="00D626ED"/>
    <w:rsid w:val="00D62794"/>
    <w:rsid w:val="00D62ADA"/>
    <w:rsid w:val="00D62B34"/>
    <w:rsid w:val="00D63234"/>
    <w:rsid w:val="00D6372A"/>
    <w:rsid w:val="00D639BD"/>
    <w:rsid w:val="00D63A2E"/>
    <w:rsid w:val="00D643F9"/>
    <w:rsid w:val="00D6468C"/>
    <w:rsid w:val="00D64798"/>
    <w:rsid w:val="00D64B0F"/>
    <w:rsid w:val="00D64CFD"/>
    <w:rsid w:val="00D64D28"/>
    <w:rsid w:val="00D65416"/>
    <w:rsid w:val="00D656C3"/>
    <w:rsid w:val="00D657DD"/>
    <w:rsid w:val="00D65D9C"/>
    <w:rsid w:val="00D65DC5"/>
    <w:rsid w:val="00D66B53"/>
    <w:rsid w:val="00D672A7"/>
    <w:rsid w:val="00D674B0"/>
    <w:rsid w:val="00D67912"/>
    <w:rsid w:val="00D7055E"/>
    <w:rsid w:val="00D70E50"/>
    <w:rsid w:val="00D7174C"/>
    <w:rsid w:val="00D7194F"/>
    <w:rsid w:val="00D71A11"/>
    <w:rsid w:val="00D71A56"/>
    <w:rsid w:val="00D72776"/>
    <w:rsid w:val="00D727D6"/>
    <w:rsid w:val="00D72C94"/>
    <w:rsid w:val="00D734EB"/>
    <w:rsid w:val="00D73502"/>
    <w:rsid w:val="00D73914"/>
    <w:rsid w:val="00D73981"/>
    <w:rsid w:val="00D73C07"/>
    <w:rsid w:val="00D73C69"/>
    <w:rsid w:val="00D73D83"/>
    <w:rsid w:val="00D73EB1"/>
    <w:rsid w:val="00D74253"/>
    <w:rsid w:val="00D74ADB"/>
    <w:rsid w:val="00D74B07"/>
    <w:rsid w:val="00D74E02"/>
    <w:rsid w:val="00D74FB7"/>
    <w:rsid w:val="00D7540A"/>
    <w:rsid w:val="00D75911"/>
    <w:rsid w:val="00D7592E"/>
    <w:rsid w:val="00D75B4C"/>
    <w:rsid w:val="00D76234"/>
    <w:rsid w:val="00D76BFE"/>
    <w:rsid w:val="00D77856"/>
    <w:rsid w:val="00D77EA4"/>
    <w:rsid w:val="00D80210"/>
    <w:rsid w:val="00D802CF"/>
    <w:rsid w:val="00D80CAE"/>
    <w:rsid w:val="00D80FBA"/>
    <w:rsid w:val="00D811B1"/>
    <w:rsid w:val="00D813CE"/>
    <w:rsid w:val="00D81470"/>
    <w:rsid w:val="00D81A5E"/>
    <w:rsid w:val="00D82533"/>
    <w:rsid w:val="00D83229"/>
    <w:rsid w:val="00D83C5C"/>
    <w:rsid w:val="00D83C88"/>
    <w:rsid w:val="00D83FC6"/>
    <w:rsid w:val="00D8483E"/>
    <w:rsid w:val="00D84A35"/>
    <w:rsid w:val="00D8567E"/>
    <w:rsid w:val="00D85C61"/>
    <w:rsid w:val="00D85DDA"/>
    <w:rsid w:val="00D86189"/>
    <w:rsid w:val="00D8663F"/>
    <w:rsid w:val="00D86BD4"/>
    <w:rsid w:val="00D86D3A"/>
    <w:rsid w:val="00D8792D"/>
    <w:rsid w:val="00D90BEC"/>
    <w:rsid w:val="00D90C74"/>
    <w:rsid w:val="00D9138B"/>
    <w:rsid w:val="00D91A59"/>
    <w:rsid w:val="00D91AAC"/>
    <w:rsid w:val="00D91CBB"/>
    <w:rsid w:val="00D91CC1"/>
    <w:rsid w:val="00D91D5F"/>
    <w:rsid w:val="00D91EE1"/>
    <w:rsid w:val="00D91FEC"/>
    <w:rsid w:val="00D92038"/>
    <w:rsid w:val="00D92CC2"/>
    <w:rsid w:val="00D92EAA"/>
    <w:rsid w:val="00D938B6"/>
    <w:rsid w:val="00D939C5"/>
    <w:rsid w:val="00D93B9C"/>
    <w:rsid w:val="00D94415"/>
    <w:rsid w:val="00D94A87"/>
    <w:rsid w:val="00D94FDA"/>
    <w:rsid w:val="00D950C5"/>
    <w:rsid w:val="00D95D1E"/>
    <w:rsid w:val="00D95E11"/>
    <w:rsid w:val="00D96241"/>
    <w:rsid w:val="00D963F6"/>
    <w:rsid w:val="00D9651E"/>
    <w:rsid w:val="00D965F0"/>
    <w:rsid w:val="00D97390"/>
    <w:rsid w:val="00D97909"/>
    <w:rsid w:val="00D97936"/>
    <w:rsid w:val="00DA0AE4"/>
    <w:rsid w:val="00DA0D20"/>
    <w:rsid w:val="00DA0FC1"/>
    <w:rsid w:val="00DA1451"/>
    <w:rsid w:val="00DA14B6"/>
    <w:rsid w:val="00DA1A2B"/>
    <w:rsid w:val="00DA25E6"/>
    <w:rsid w:val="00DA29E1"/>
    <w:rsid w:val="00DA35D5"/>
    <w:rsid w:val="00DA3695"/>
    <w:rsid w:val="00DA373E"/>
    <w:rsid w:val="00DA3F37"/>
    <w:rsid w:val="00DA44DB"/>
    <w:rsid w:val="00DA4CC7"/>
    <w:rsid w:val="00DA516E"/>
    <w:rsid w:val="00DA53F0"/>
    <w:rsid w:val="00DA54EB"/>
    <w:rsid w:val="00DA68B5"/>
    <w:rsid w:val="00DA6D04"/>
    <w:rsid w:val="00DA798D"/>
    <w:rsid w:val="00DA7C53"/>
    <w:rsid w:val="00DB1316"/>
    <w:rsid w:val="00DB163E"/>
    <w:rsid w:val="00DB2508"/>
    <w:rsid w:val="00DB2FD2"/>
    <w:rsid w:val="00DB36EA"/>
    <w:rsid w:val="00DB3ED4"/>
    <w:rsid w:val="00DB414D"/>
    <w:rsid w:val="00DB45C1"/>
    <w:rsid w:val="00DB4AC5"/>
    <w:rsid w:val="00DB4E5A"/>
    <w:rsid w:val="00DB5222"/>
    <w:rsid w:val="00DB5259"/>
    <w:rsid w:val="00DB5E0E"/>
    <w:rsid w:val="00DB71F5"/>
    <w:rsid w:val="00DB747D"/>
    <w:rsid w:val="00DB7481"/>
    <w:rsid w:val="00DB7965"/>
    <w:rsid w:val="00DB7C3E"/>
    <w:rsid w:val="00DB7D01"/>
    <w:rsid w:val="00DC000E"/>
    <w:rsid w:val="00DC00D0"/>
    <w:rsid w:val="00DC01A5"/>
    <w:rsid w:val="00DC04AC"/>
    <w:rsid w:val="00DC0520"/>
    <w:rsid w:val="00DC0911"/>
    <w:rsid w:val="00DC0C25"/>
    <w:rsid w:val="00DC0CF9"/>
    <w:rsid w:val="00DC13BE"/>
    <w:rsid w:val="00DC1D0B"/>
    <w:rsid w:val="00DC2A51"/>
    <w:rsid w:val="00DC2BE9"/>
    <w:rsid w:val="00DC2FC5"/>
    <w:rsid w:val="00DC3B4D"/>
    <w:rsid w:val="00DC466E"/>
    <w:rsid w:val="00DC4C7E"/>
    <w:rsid w:val="00DC4DEB"/>
    <w:rsid w:val="00DC4F8B"/>
    <w:rsid w:val="00DC58CD"/>
    <w:rsid w:val="00DC5DC2"/>
    <w:rsid w:val="00DC5FFA"/>
    <w:rsid w:val="00DC6169"/>
    <w:rsid w:val="00DC6376"/>
    <w:rsid w:val="00DC67D7"/>
    <w:rsid w:val="00DC6BF5"/>
    <w:rsid w:val="00DC71B9"/>
    <w:rsid w:val="00DC75E6"/>
    <w:rsid w:val="00DC76D6"/>
    <w:rsid w:val="00DC7F7A"/>
    <w:rsid w:val="00DD01B7"/>
    <w:rsid w:val="00DD0457"/>
    <w:rsid w:val="00DD07A6"/>
    <w:rsid w:val="00DD102A"/>
    <w:rsid w:val="00DD125F"/>
    <w:rsid w:val="00DD1724"/>
    <w:rsid w:val="00DD2713"/>
    <w:rsid w:val="00DD2C2A"/>
    <w:rsid w:val="00DD2C84"/>
    <w:rsid w:val="00DD34A3"/>
    <w:rsid w:val="00DD34BC"/>
    <w:rsid w:val="00DD366E"/>
    <w:rsid w:val="00DD3D0C"/>
    <w:rsid w:val="00DD3ED6"/>
    <w:rsid w:val="00DD44E9"/>
    <w:rsid w:val="00DD45EF"/>
    <w:rsid w:val="00DD4B85"/>
    <w:rsid w:val="00DD64AA"/>
    <w:rsid w:val="00DD652B"/>
    <w:rsid w:val="00DD6536"/>
    <w:rsid w:val="00DD6FF5"/>
    <w:rsid w:val="00DD7841"/>
    <w:rsid w:val="00DD7912"/>
    <w:rsid w:val="00DE0B6C"/>
    <w:rsid w:val="00DE0F03"/>
    <w:rsid w:val="00DE0FA0"/>
    <w:rsid w:val="00DE0FD7"/>
    <w:rsid w:val="00DE10B7"/>
    <w:rsid w:val="00DE14A7"/>
    <w:rsid w:val="00DE1AD4"/>
    <w:rsid w:val="00DE343F"/>
    <w:rsid w:val="00DE39E3"/>
    <w:rsid w:val="00DE3EEB"/>
    <w:rsid w:val="00DE3F40"/>
    <w:rsid w:val="00DE4477"/>
    <w:rsid w:val="00DE5041"/>
    <w:rsid w:val="00DE52A0"/>
    <w:rsid w:val="00DE592E"/>
    <w:rsid w:val="00DE5C74"/>
    <w:rsid w:val="00DE5E40"/>
    <w:rsid w:val="00DE6B4B"/>
    <w:rsid w:val="00DE73CA"/>
    <w:rsid w:val="00DE766C"/>
    <w:rsid w:val="00DE7EF8"/>
    <w:rsid w:val="00DF0052"/>
    <w:rsid w:val="00DF0A56"/>
    <w:rsid w:val="00DF0C68"/>
    <w:rsid w:val="00DF0C97"/>
    <w:rsid w:val="00DF0DBE"/>
    <w:rsid w:val="00DF1511"/>
    <w:rsid w:val="00DF16B5"/>
    <w:rsid w:val="00DF1A24"/>
    <w:rsid w:val="00DF1BB8"/>
    <w:rsid w:val="00DF2BA7"/>
    <w:rsid w:val="00DF3747"/>
    <w:rsid w:val="00DF4B92"/>
    <w:rsid w:val="00DF5552"/>
    <w:rsid w:val="00DF5BC3"/>
    <w:rsid w:val="00DF6796"/>
    <w:rsid w:val="00DF6E30"/>
    <w:rsid w:val="00DF7093"/>
    <w:rsid w:val="00DF7449"/>
    <w:rsid w:val="00DF7958"/>
    <w:rsid w:val="00DF7C07"/>
    <w:rsid w:val="00E0005D"/>
    <w:rsid w:val="00E00E75"/>
    <w:rsid w:val="00E011DA"/>
    <w:rsid w:val="00E012DC"/>
    <w:rsid w:val="00E0140E"/>
    <w:rsid w:val="00E01417"/>
    <w:rsid w:val="00E01EA7"/>
    <w:rsid w:val="00E02039"/>
    <w:rsid w:val="00E02AEA"/>
    <w:rsid w:val="00E02B99"/>
    <w:rsid w:val="00E03140"/>
    <w:rsid w:val="00E033A6"/>
    <w:rsid w:val="00E03584"/>
    <w:rsid w:val="00E03867"/>
    <w:rsid w:val="00E03A0D"/>
    <w:rsid w:val="00E04170"/>
    <w:rsid w:val="00E0490E"/>
    <w:rsid w:val="00E04BE8"/>
    <w:rsid w:val="00E04C33"/>
    <w:rsid w:val="00E04CAE"/>
    <w:rsid w:val="00E0640B"/>
    <w:rsid w:val="00E06BCE"/>
    <w:rsid w:val="00E071A4"/>
    <w:rsid w:val="00E07214"/>
    <w:rsid w:val="00E07779"/>
    <w:rsid w:val="00E07B5D"/>
    <w:rsid w:val="00E07CD8"/>
    <w:rsid w:val="00E07DEB"/>
    <w:rsid w:val="00E07E19"/>
    <w:rsid w:val="00E10242"/>
    <w:rsid w:val="00E10474"/>
    <w:rsid w:val="00E105B2"/>
    <w:rsid w:val="00E12A7B"/>
    <w:rsid w:val="00E12E53"/>
    <w:rsid w:val="00E12EF4"/>
    <w:rsid w:val="00E12F71"/>
    <w:rsid w:val="00E12FCE"/>
    <w:rsid w:val="00E132DB"/>
    <w:rsid w:val="00E147B4"/>
    <w:rsid w:val="00E1488F"/>
    <w:rsid w:val="00E149AA"/>
    <w:rsid w:val="00E14FF4"/>
    <w:rsid w:val="00E1532E"/>
    <w:rsid w:val="00E15C5E"/>
    <w:rsid w:val="00E15C86"/>
    <w:rsid w:val="00E15D08"/>
    <w:rsid w:val="00E15D0F"/>
    <w:rsid w:val="00E1600F"/>
    <w:rsid w:val="00E1660B"/>
    <w:rsid w:val="00E1740A"/>
    <w:rsid w:val="00E175A5"/>
    <w:rsid w:val="00E17962"/>
    <w:rsid w:val="00E17EB1"/>
    <w:rsid w:val="00E200AE"/>
    <w:rsid w:val="00E20893"/>
    <w:rsid w:val="00E20B01"/>
    <w:rsid w:val="00E20EE9"/>
    <w:rsid w:val="00E21B07"/>
    <w:rsid w:val="00E21C49"/>
    <w:rsid w:val="00E2240D"/>
    <w:rsid w:val="00E2244D"/>
    <w:rsid w:val="00E2287C"/>
    <w:rsid w:val="00E22A51"/>
    <w:rsid w:val="00E231B4"/>
    <w:rsid w:val="00E23521"/>
    <w:rsid w:val="00E23872"/>
    <w:rsid w:val="00E23D44"/>
    <w:rsid w:val="00E24181"/>
    <w:rsid w:val="00E248E4"/>
    <w:rsid w:val="00E256A3"/>
    <w:rsid w:val="00E257B6"/>
    <w:rsid w:val="00E25B58"/>
    <w:rsid w:val="00E26023"/>
    <w:rsid w:val="00E26BF7"/>
    <w:rsid w:val="00E26D84"/>
    <w:rsid w:val="00E278D2"/>
    <w:rsid w:val="00E30459"/>
    <w:rsid w:val="00E30B43"/>
    <w:rsid w:val="00E3121A"/>
    <w:rsid w:val="00E31539"/>
    <w:rsid w:val="00E3169C"/>
    <w:rsid w:val="00E3275F"/>
    <w:rsid w:val="00E32D01"/>
    <w:rsid w:val="00E33117"/>
    <w:rsid w:val="00E3362E"/>
    <w:rsid w:val="00E3391B"/>
    <w:rsid w:val="00E33A38"/>
    <w:rsid w:val="00E341B2"/>
    <w:rsid w:val="00E343CF"/>
    <w:rsid w:val="00E346A2"/>
    <w:rsid w:val="00E347BD"/>
    <w:rsid w:val="00E348A1"/>
    <w:rsid w:val="00E3529E"/>
    <w:rsid w:val="00E35E24"/>
    <w:rsid w:val="00E362A0"/>
    <w:rsid w:val="00E3686C"/>
    <w:rsid w:val="00E36ED7"/>
    <w:rsid w:val="00E37315"/>
    <w:rsid w:val="00E374E1"/>
    <w:rsid w:val="00E37539"/>
    <w:rsid w:val="00E37CCC"/>
    <w:rsid w:val="00E4004B"/>
    <w:rsid w:val="00E40518"/>
    <w:rsid w:val="00E40676"/>
    <w:rsid w:val="00E40A7E"/>
    <w:rsid w:val="00E40D64"/>
    <w:rsid w:val="00E41DC5"/>
    <w:rsid w:val="00E423E8"/>
    <w:rsid w:val="00E426BA"/>
    <w:rsid w:val="00E429C1"/>
    <w:rsid w:val="00E43638"/>
    <w:rsid w:val="00E4406C"/>
    <w:rsid w:val="00E44209"/>
    <w:rsid w:val="00E4478E"/>
    <w:rsid w:val="00E44884"/>
    <w:rsid w:val="00E44C66"/>
    <w:rsid w:val="00E45329"/>
    <w:rsid w:val="00E45955"/>
    <w:rsid w:val="00E46D4A"/>
    <w:rsid w:val="00E46EBB"/>
    <w:rsid w:val="00E47DDC"/>
    <w:rsid w:val="00E50903"/>
    <w:rsid w:val="00E50A52"/>
    <w:rsid w:val="00E51DAD"/>
    <w:rsid w:val="00E52ADC"/>
    <w:rsid w:val="00E52C4E"/>
    <w:rsid w:val="00E53018"/>
    <w:rsid w:val="00E53FB4"/>
    <w:rsid w:val="00E5470F"/>
    <w:rsid w:val="00E5474F"/>
    <w:rsid w:val="00E54FF7"/>
    <w:rsid w:val="00E552F1"/>
    <w:rsid w:val="00E55315"/>
    <w:rsid w:val="00E556C4"/>
    <w:rsid w:val="00E562B2"/>
    <w:rsid w:val="00E56D96"/>
    <w:rsid w:val="00E57467"/>
    <w:rsid w:val="00E5757F"/>
    <w:rsid w:val="00E57C76"/>
    <w:rsid w:val="00E60068"/>
    <w:rsid w:val="00E60089"/>
    <w:rsid w:val="00E603EB"/>
    <w:rsid w:val="00E61539"/>
    <w:rsid w:val="00E617A8"/>
    <w:rsid w:val="00E61879"/>
    <w:rsid w:val="00E61B02"/>
    <w:rsid w:val="00E6220E"/>
    <w:rsid w:val="00E62376"/>
    <w:rsid w:val="00E63082"/>
    <w:rsid w:val="00E64F65"/>
    <w:rsid w:val="00E65A33"/>
    <w:rsid w:val="00E65C9F"/>
    <w:rsid w:val="00E66250"/>
    <w:rsid w:val="00E66FCF"/>
    <w:rsid w:val="00E670B2"/>
    <w:rsid w:val="00E67DC7"/>
    <w:rsid w:val="00E7070B"/>
    <w:rsid w:val="00E70D9D"/>
    <w:rsid w:val="00E71F66"/>
    <w:rsid w:val="00E727C6"/>
    <w:rsid w:val="00E7338C"/>
    <w:rsid w:val="00E736CF"/>
    <w:rsid w:val="00E73C55"/>
    <w:rsid w:val="00E7405E"/>
    <w:rsid w:val="00E74164"/>
    <w:rsid w:val="00E746D7"/>
    <w:rsid w:val="00E748EB"/>
    <w:rsid w:val="00E749CF"/>
    <w:rsid w:val="00E74C3F"/>
    <w:rsid w:val="00E75041"/>
    <w:rsid w:val="00E7527D"/>
    <w:rsid w:val="00E756FA"/>
    <w:rsid w:val="00E75A38"/>
    <w:rsid w:val="00E761CD"/>
    <w:rsid w:val="00E766E1"/>
    <w:rsid w:val="00E76B61"/>
    <w:rsid w:val="00E76EA7"/>
    <w:rsid w:val="00E76F34"/>
    <w:rsid w:val="00E8058E"/>
    <w:rsid w:val="00E80638"/>
    <w:rsid w:val="00E813B8"/>
    <w:rsid w:val="00E81C69"/>
    <w:rsid w:val="00E81E6E"/>
    <w:rsid w:val="00E820A5"/>
    <w:rsid w:val="00E822A2"/>
    <w:rsid w:val="00E828EA"/>
    <w:rsid w:val="00E82C07"/>
    <w:rsid w:val="00E82CE0"/>
    <w:rsid w:val="00E8451C"/>
    <w:rsid w:val="00E84736"/>
    <w:rsid w:val="00E84CEB"/>
    <w:rsid w:val="00E84F4D"/>
    <w:rsid w:val="00E8569D"/>
    <w:rsid w:val="00E85A2F"/>
    <w:rsid w:val="00E85BEF"/>
    <w:rsid w:val="00E85F11"/>
    <w:rsid w:val="00E85FC6"/>
    <w:rsid w:val="00E865BA"/>
    <w:rsid w:val="00E86F0F"/>
    <w:rsid w:val="00E870E8"/>
    <w:rsid w:val="00E8713B"/>
    <w:rsid w:val="00E90018"/>
    <w:rsid w:val="00E90305"/>
    <w:rsid w:val="00E906C8"/>
    <w:rsid w:val="00E910EE"/>
    <w:rsid w:val="00E91145"/>
    <w:rsid w:val="00E91E42"/>
    <w:rsid w:val="00E91FDE"/>
    <w:rsid w:val="00E9269E"/>
    <w:rsid w:val="00E927F7"/>
    <w:rsid w:val="00E92CAF"/>
    <w:rsid w:val="00E92E6F"/>
    <w:rsid w:val="00E93105"/>
    <w:rsid w:val="00E94BDE"/>
    <w:rsid w:val="00E964AD"/>
    <w:rsid w:val="00E968B5"/>
    <w:rsid w:val="00E969A0"/>
    <w:rsid w:val="00E97249"/>
    <w:rsid w:val="00E97F84"/>
    <w:rsid w:val="00EA0611"/>
    <w:rsid w:val="00EA064B"/>
    <w:rsid w:val="00EA08C0"/>
    <w:rsid w:val="00EA129A"/>
    <w:rsid w:val="00EA1587"/>
    <w:rsid w:val="00EA1739"/>
    <w:rsid w:val="00EA1B0F"/>
    <w:rsid w:val="00EA2712"/>
    <w:rsid w:val="00EA2758"/>
    <w:rsid w:val="00EA2E13"/>
    <w:rsid w:val="00EA3C74"/>
    <w:rsid w:val="00EA3FC5"/>
    <w:rsid w:val="00EA431D"/>
    <w:rsid w:val="00EA4488"/>
    <w:rsid w:val="00EA5036"/>
    <w:rsid w:val="00EA5377"/>
    <w:rsid w:val="00EA61C0"/>
    <w:rsid w:val="00EA63AC"/>
    <w:rsid w:val="00EA6C86"/>
    <w:rsid w:val="00EA742F"/>
    <w:rsid w:val="00EA7A8E"/>
    <w:rsid w:val="00EA7DCB"/>
    <w:rsid w:val="00EB07BE"/>
    <w:rsid w:val="00EB0FA6"/>
    <w:rsid w:val="00EB1240"/>
    <w:rsid w:val="00EB2A4A"/>
    <w:rsid w:val="00EB3BFB"/>
    <w:rsid w:val="00EB46FB"/>
    <w:rsid w:val="00EB4720"/>
    <w:rsid w:val="00EB500A"/>
    <w:rsid w:val="00EB5041"/>
    <w:rsid w:val="00EB56F6"/>
    <w:rsid w:val="00EB5977"/>
    <w:rsid w:val="00EB65E7"/>
    <w:rsid w:val="00EB69DD"/>
    <w:rsid w:val="00EB7487"/>
    <w:rsid w:val="00EB75FB"/>
    <w:rsid w:val="00EB775E"/>
    <w:rsid w:val="00EC00DB"/>
    <w:rsid w:val="00EC02D0"/>
    <w:rsid w:val="00EC06B4"/>
    <w:rsid w:val="00EC154A"/>
    <w:rsid w:val="00EC1605"/>
    <w:rsid w:val="00EC1B1E"/>
    <w:rsid w:val="00EC1DE2"/>
    <w:rsid w:val="00EC1EEB"/>
    <w:rsid w:val="00EC2142"/>
    <w:rsid w:val="00EC2D0A"/>
    <w:rsid w:val="00EC32E1"/>
    <w:rsid w:val="00EC35A2"/>
    <w:rsid w:val="00EC3C45"/>
    <w:rsid w:val="00EC3C57"/>
    <w:rsid w:val="00EC4228"/>
    <w:rsid w:val="00EC4641"/>
    <w:rsid w:val="00EC4777"/>
    <w:rsid w:val="00EC4963"/>
    <w:rsid w:val="00EC6509"/>
    <w:rsid w:val="00EC6CDE"/>
    <w:rsid w:val="00EC6E17"/>
    <w:rsid w:val="00EC6ED1"/>
    <w:rsid w:val="00EC6F4E"/>
    <w:rsid w:val="00EC7586"/>
    <w:rsid w:val="00EC763A"/>
    <w:rsid w:val="00EC7A74"/>
    <w:rsid w:val="00EC7C91"/>
    <w:rsid w:val="00ED084D"/>
    <w:rsid w:val="00ED08D4"/>
    <w:rsid w:val="00ED1062"/>
    <w:rsid w:val="00ED10A0"/>
    <w:rsid w:val="00ED1548"/>
    <w:rsid w:val="00ED20A1"/>
    <w:rsid w:val="00ED2906"/>
    <w:rsid w:val="00ED2EEF"/>
    <w:rsid w:val="00ED2F77"/>
    <w:rsid w:val="00ED3600"/>
    <w:rsid w:val="00ED3C4A"/>
    <w:rsid w:val="00ED4625"/>
    <w:rsid w:val="00ED4663"/>
    <w:rsid w:val="00ED4C9D"/>
    <w:rsid w:val="00ED4D63"/>
    <w:rsid w:val="00ED4E36"/>
    <w:rsid w:val="00ED4F51"/>
    <w:rsid w:val="00ED4FB1"/>
    <w:rsid w:val="00ED5168"/>
    <w:rsid w:val="00ED5A31"/>
    <w:rsid w:val="00ED5CA0"/>
    <w:rsid w:val="00ED6641"/>
    <w:rsid w:val="00ED6855"/>
    <w:rsid w:val="00ED6D91"/>
    <w:rsid w:val="00ED6E3E"/>
    <w:rsid w:val="00EE01C2"/>
    <w:rsid w:val="00EE0689"/>
    <w:rsid w:val="00EE0C80"/>
    <w:rsid w:val="00EE0C84"/>
    <w:rsid w:val="00EE206D"/>
    <w:rsid w:val="00EE29B5"/>
    <w:rsid w:val="00EE30D9"/>
    <w:rsid w:val="00EE3628"/>
    <w:rsid w:val="00EE3672"/>
    <w:rsid w:val="00EE3F4C"/>
    <w:rsid w:val="00EE3F4E"/>
    <w:rsid w:val="00EE41A1"/>
    <w:rsid w:val="00EE43CB"/>
    <w:rsid w:val="00EE448F"/>
    <w:rsid w:val="00EE44E3"/>
    <w:rsid w:val="00EE4D47"/>
    <w:rsid w:val="00EE607C"/>
    <w:rsid w:val="00EE640C"/>
    <w:rsid w:val="00EE6EBD"/>
    <w:rsid w:val="00EE6EE4"/>
    <w:rsid w:val="00EE6F50"/>
    <w:rsid w:val="00EE74B6"/>
    <w:rsid w:val="00EE766E"/>
    <w:rsid w:val="00EE7949"/>
    <w:rsid w:val="00EE7A0F"/>
    <w:rsid w:val="00EE7C07"/>
    <w:rsid w:val="00EF023B"/>
    <w:rsid w:val="00EF0FB7"/>
    <w:rsid w:val="00EF11C3"/>
    <w:rsid w:val="00EF1267"/>
    <w:rsid w:val="00EF1911"/>
    <w:rsid w:val="00EF21C0"/>
    <w:rsid w:val="00EF23C4"/>
    <w:rsid w:val="00EF29DF"/>
    <w:rsid w:val="00EF2B2E"/>
    <w:rsid w:val="00EF3CA0"/>
    <w:rsid w:val="00EF3CCE"/>
    <w:rsid w:val="00EF47BD"/>
    <w:rsid w:val="00EF568D"/>
    <w:rsid w:val="00EF5BC4"/>
    <w:rsid w:val="00EF5D7C"/>
    <w:rsid w:val="00EF6056"/>
    <w:rsid w:val="00EF622A"/>
    <w:rsid w:val="00EF65D2"/>
    <w:rsid w:val="00EF67D1"/>
    <w:rsid w:val="00EF70D5"/>
    <w:rsid w:val="00EF7774"/>
    <w:rsid w:val="00F00A59"/>
    <w:rsid w:val="00F00F10"/>
    <w:rsid w:val="00F011B0"/>
    <w:rsid w:val="00F012D0"/>
    <w:rsid w:val="00F0147D"/>
    <w:rsid w:val="00F01624"/>
    <w:rsid w:val="00F0201B"/>
    <w:rsid w:val="00F023AD"/>
    <w:rsid w:val="00F02D2E"/>
    <w:rsid w:val="00F02EB0"/>
    <w:rsid w:val="00F02EFE"/>
    <w:rsid w:val="00F03B94"/>
    <w:rsid w:val="00F03BBD"/>
    <w:rsid w:val="00F03FDC"/>
    <w:rsid w:val="00F0405D"/>
    <w:rsid w:val="00F047B6"/>
    <w:rsid w:val="00F04898"/>
    <w:rsid w:val="00F049E4"/>
    <w:rsid w:val="00F04A78"/>
    <w:rsid w:val="00F04CBF"/>
    <w:rsid w:val="00F05107"/>
    <w:rsid w:val="00F0596A"/>
    <w:rsid w:val="00F05D24"/>
    <w:rsid w:val="00F06665"/>
    <w:rsid w:val="00F109E5"/>
    <w:rsid w:val="00F11953"/>
    <w:rsid w:val="00F12465"/>
    <w:rsid w:val="00F126A3"/>
    <w:rsid w:val="00F1334A"/>
    <w:rsid w:val="00F137A0"/>
    <w:rsid w:val="00F13CA5"/>
    <w:rsid w:val="00F1474D"/>
    <w:rsid w:val="00F15043"/>
    <w:rsid w:val="00F1667D"/>
    <w:rsid w:val="00F1731C"/>
    <w:rsid w:val="00F17798"/>
    <w:rsid w:val="00F178ED"/>
    <w:rsid w:val="00F17D50"/>
    <w:rsid w:val="00F17E42"/>
    <w:rsid w:val="00F17F6E"/>
    <w:rsid w:val="00F211DD"/>
    <w:rsid w:val="00F2124A"/>
    <w:rsid w:val="00F212EE"/>
    <w:rsid w:val="00F21543"/>
    <w:rsid w:val="00F21E0D"/>
    <w:rsid w:val="00F221C3"/>
    <w:rsid w:val="00F223E9"/>
    <w:rsid w:val="00F22416"/>
    <w:rsid w:val="00F2267A"/>
    <w:rsid w:val="00F22842"/>
    <w:rsid w:val="00F22EB8"/>
    <w:rsid w:val="00F240A8"/>
    <w:rsid w:val="00F240AB"/>
    <w:rsid w:val="00F240D8"/>
    <w:rsid w:val="00F244EE"/>
    <w:rsid w:val="00F24BFC"/>
    <w:rsid w:val="00F257C2"/>
    <w:rsid w:val="00F26071"/>
    <w:rsid w:val="00F26358"/>
    <w:rsid w:val="00F267B0"/>
    <w:rsid w:val="00F279C6"/>
    <w:rsid w:val="00F27D0A"/>
    <w:rsid w:val="00F27D0B"/>
    <w:rsid w:val="00F27F4B"/>
    <w:rsid w:val="00F302EB"/>
    <w:rsid w:val="00F30990"/>
    <w:rsid w:val="00F319CA"/>
    <w:rsid w:val="00F31C62"/>
    <w:rsid w:val="00F31CF8"/>
    <w:rsid w:val="00F31F4E"/>
    <w:rsid w:val="00F3267B"/>
    <w:rsid w:val="00F327B6"/>
    <w:rsid w:val="00F32B03"/>
    <w:rsid w:val="00F32E01"/>
    <w:rsid w:val="00F3358D"/>
    <w:rsid w:val="00F335FE"/>
    <w:rsid w:val="00F335FF"/>
    <w:rsid w:val="00F34472"/>
    <w:rsid w:val="00F3485E"/>
    <w:rsid w:val="00F34AE0"/>
    <w:rsid w:val="00F34BDC"/>
    <w:rsid w:val="00F35E66"/>
    <w:rsid w:val="00F36A89"/>
    <w:rsid w:val="00F3759C"/>
    <w:rsid w:val="00F40CF2"/>
    <w:rsid w:val="00F412F0"/>
    <w:rsid w:val="00F417BD"/>
    <w:rsid w:val="00F421D1"/>
    <w:rsid w:val="00F42554"/>
    <w:rsid w:val="00F425E0"/>
    <w:rsid w:val="00F427D8"/>
    <w:rsid w:val="00F42F11"/>
    <w:rsid w:val="00F435A5"/>
    <w:rsid w:val="00F437B2"/>
    <w:rsid w:val="00F43912"/>
    <w:rsid w:val="00F43AC1"/>
    <w:rsid w:val="00F43E99"/>
    <w:rsid w:val="00F43EA8"/>
    <w:rsid w:val="00F44678"/>
    <w:rsid w:val="00F4503E"/>
    <w:rsid w:val="00F45072"/>
    <w:rsid w:val="00F4515D"/>
    <w:rsid w:val="00F455EF"/>
    <w:rsid w:val="00F45EAB"/>
    <w:rsid w:val="00F45EDA"/>
    <w:rsid w:val="00F461A0"/>
    <w:rsid w:val="00F46B57"/>
    <w:rsid w:val="00F4742E"/>
    <w:rsid w:val="00F47676"/>
    <w:rsid w:val="00F47809"/>
    <w:rsid w:val="00F47879"/>
    <w:rsid w:val="00F47C2D"/>
    <w:rsid w:val="00F5050E"/>
    <w:rsid w:val="00F51BF2"/>
    <w:rsid w:val="00F51D8D"/>
    <w:rsid w:val="00F51E6F"/>
    <w:rsid w:val="00F51F54"/>
    <w:rsid w:val="00F521AD"/>
    <w:rsid w:val="00F52F64"/>
    <w:rsid w:val="00F5375E"/>
    <w:rsid w:val="00F53CE1"/>
    <w:rsid w:val="00F53DC6"/>
    <w:rsid w:val="00F5455D"/>
    <w:rsid w:val="00F54E24"/>
    <w:rsid w:val="00F55F39"/>
    <w:rsid w:val="00F56175"/>
    <w:rsid w:val="00F566F9"/>
    <w:rsid w:val="00F5760D"/>
    <w:rsid w:val="00F57DB4"/>
    <w:rsid w:val="00F57FED"/>
    <w:rsid w:val="00F60727"/>
    <w:rsid w:val="00F60AD3"/>
    <w:rsid w:val="00F60B86"/>
    <w:rsid w:val="00F60BBF"/>
    <w:rsid w:val="00F60C4F"/>
    <w:rsid w:val="00F60EDF"/>
    <w:rsid w:val="00F60F5A"/>
    <w:rsid w:val="00F6114F"/>
    <w:rsid w:val="00F61181"/>
    <w:rsid w:val="00F615AC"/>
    <w:rsid w:val="00F615BD"/>
    <w:rsid w:val="00F61F39"/>
    <w:rsid w:val="00F628FF"/>
    <w:rsid w:val="00F62AAA"/>
    <w:rsid w:val="00F62C4D"/>
    <w:rsid w:val="00F63AEF"/>
    <w:rsid w:val="00F643E2"/>
    <w:rsid w:val="00F64615"/>
    <w:rsid w:val="00F647D8"/>
    <w:rsid w:val="00F64897"/>
    <w:rsid w:val="00F64BC1"/>
    <w:rsid w:val="00F64E6E"/>
    <w:rsid w:val="00F6527B"/>
    <w:rsid w:val="00F65363"/>
    <w:rsid w:val="00F6608E"/>
    <w:rsid w:val="00F6626E"/>
    <w:rsid w:val="00F6649E"/>
    <w:rsid w:val="00F667D1"/>
    <w:rsid w:val="00F70047"/>
    <w:rsid w:val="00F70685"/>
    <w:rsid w:val="00F70952"/>
    <w:rsid w:val="00F70B82"/>
    <w:rsid w:val="00F70EFD"/>
    <w:rsid w:val="00F70FFF"/>
    <w:rsid w:val="00F71219"/>
    <w:rsid w:val="00F71525"/>
    <w:rsid w:val="00F722DB"/>
    <w:rsid w:val="00F72C70"/>
    <w:rsid w:val="00F731B5"/>
    <w:rsid w:val="00F733ED"/>
    <w:rsid w:val="00F7396C"/>
    <w:rsid w:val="00F73B2D"/>
    <w:rsid w:val="00F74476"/>
    <w:rsid w:val="00F74759"/>
    <w:rsid w:val="00F74A3B"/>
    <w:rsid w:val="00F74E31"/>
    <w:rsid w:val="00F75203"/>
    <w:rsid w:val="00F758C1"/>
    <w:rsid w:val="00F75E46"/>
    <w:rsid w:val="00F760E4"/>
    <w:rsid w:val="00F76366"/>
    <w:rsid w:val="00F76A44"/>
    <w:rsid w:val="00F77AAA"/>
    <w:rsid w:val="00F77C4B"/>
    <w:rsid w:val="00F77ED2"/>
    <w:rsid w:val="00F805D4"/>
    <w:rsid w:val="00F80864"/>
    <w:rsid w:val="00F80C9E"/>
    <w:rsid w:val="00F81157"/>
    <w:rsid w:val="00F8138B"/>
    <w:rsid w:val="00F81682"/>
    <w:rsid w:val="00F820D8"/>
    <w:rsid w:val="00F82118"/>
    <w:rsid w:val="00F82401"/>
    <w:rsid w:val="00F825BD"/>
    <w:rsid w:val="00F829E5"/>
    <w:rsid w:val="00F82BC6"/>
    <w:rsid w:val="00F82EEF"/>
    <w:rsid w:val="00F83BBD"/>
    <w:rsid w:val="00F83C33"/>
    <w:rsid w:val="00F83DFB"/>
    <w:rsid w:val="00F83F0E"/>
    <w:rsid w:val="00F8402D"/>
    <w:rsid w:val="00F8425A"/>
    <w:rsid w:val="00F85405"/>
    <w:rsid w:val="00F855F4"/>
    <w:rsid w:val="00F8586E"/>
    <w:rsid w:val="00F85D9C"/>
    <w:rsid w:val="00F860BE"/>
    <w:rsid w:val="00F87721"/>
    <w:rsid w:val="00F87897"/>
    <w:rsid w:val="00F87C74"/>
    <w:rsid w:val="00F901D6"/>
    <w:rsid w:val="00F9069F"/>
    <w:rsid w:val="00F907FA"/>
    <w:rsid w:val="00F91AD1"/>
    <w:rsid w:val="00F91FC4"/>
    <w:rsid w:val="00F9317D"/>
    <w:rsid w:val="00F9355E"/>
    <w:rsid w:val="00F93949"/>
    <w:rsid w:val="00F939EA"/>
    <w:rsid w:val="00F93B1D"/>
    <w:rsid w:val="00F95E13"/>
    <w:rsid w:val="00F9681E"/>
    <w:rsid w:val="00F975C2"/>
    <w:rsid w:val="00F9774B"/>
    <w:rsid w:val="00F97DB8"/>
    <w:rsid w:val="00FA014E"/>
    <w:rsid w:val="00FA0176"/>
    <w:rsid w:val="00FA02C9"/>
    <w:rsid w:val="00FA1114"/>
    <w:rsid w:val="00FA122C"/>
    <w:rsid w:val="00FA1773"/>
    <w:rsid w:val="00FA21C8"/>
    <w:rsid w:val="00FA31B2"/>
    <w:rsid w:val="00FA34F9"/>
    <w:rsid w:val="00FA3FFF"/>
    <w:rsid w:val="00FA4452"/>
    <w:rsid w:val="00FA44A7"/>
    <w:rsid w:val="00FA4D05"/>
    <w:rsid w:val="00FA4FAC"/>
    <w:rsid w:val="00FA5605"/>
    <w:rsid w:val="00FA62EF"/>
    <w:rsid w:val="00FA6E23"/>
    <w:rsid w:val="00FA7244"/>
    <w:rsid w:val="00FA787F"/>
    <w:rsid w:val="00FA7EC9"/>
    <w:rsid w:val="00FA7EDA"/>
    <w:rsid w:val="00FA7FDF"/>
    <w:rsid w:val="00FB0162"/>
    <w:rsid w:val="00FB0B91"/>
    <w:rsid w:val="00FB1118"/>
    <w:rsid w:val="00FB16FD"/>
    <w:rsid w:val="00FB2094"/>
    <w:rsid w:val="00FB21DC"/>
    <w:rsid w:val="00FB389B"/>
    <w:rsid w:val="00FB3CB9"/>
    <w:rsid w:val="00FB3D0D"/>
    <w:rsid w:val="00FB3EAA"/>
    <w:rsid w:val="00FB41FB"/>
    <w:rsid w:val="00FB48B4"/>
    <w:rsid w:val="00FB4F7B"/>
    <w:rsid w:val="00FB54ED"/>
    <w:rsid w:val="00FB5CF2"/>
    <w:rsid w:val="00FB5D5A"/>
    <w:rsid w:val="00FB5EBA"/>
    <w:rsid w:val="00FB6640"/>
    <w:rsid w:val="00FB6658"/>
    <w:rsid w:val="00FB6741"/>
    <w:rsid w:val="00FB6850"/>
    <w:rsid w:val="00FB7239"/>
    <w:rsid w:val="00FB740F"/>
    <w:rsid w:val="00FB7A89"/>
    <w:rsid w:val="00FB7A9D"/>
    <w:rsid w:val="00FC0510"/>
    <w:rsid w:val="00FC0652"/>
    <w:rsid w:val="00FC06E0"/>
    <w:rsid w:val="00FC09F1"/>
    <w:rsid w:val="00FC0C85"/>
    <w:rsid w:val="00FC191E"/>
    <w:rsid w:val="00FC1D94"/>
    <w:rsid w:val="00FC1EF9"/>
    <w:rsid w:val="00FC204A"/>
    <w:rsid w:val="00FC2D10"/>
    <w:rsid w:val="00FC3028"/>
    <w:rsid w:val="00FC32E8"/>
    <w:rsid w:val="00FC3C10"/>
    <w:rsid w:val="00FC3E2F"/>
    <w:rsid w:val="00FC3FF8"/>
    <w:rsid w:val="00FC407D"/>
    <w:rsid w:val="00FC4740"/>
    <w:rsid w:val="00FC49AB"/>
    <w:rsid w:val="00FC4BC8"/>
    <w:rsid w:val="00FC5967"/>
    <w:rsid w:val="00FC60B3"/>
    <w:rsid w:val="00FC6F8A"/>
    <w:rsid w:val="00FC730D"/>
    <w:rsid w:val="00FD0D62"/>
    <w:rsid w:val="00FD2193"/>
    <w:rsid w:val="00FD25DF"/>
    <w:rsid w:val="00FD2606"/>
    <w:rsid w:val="00FD30EA"/>
    <w:rsid w:val="00FD31C8"/>
    <w:rsid w:val="00FD34D6"/>
    <w:rsid w:val="00FD3D96"/>
    <w:rsid w:val="00FD4126"/>
    <w:rsid w:val="00FD4553"/>
    <w:rsid w:val="00FD4701"/>
    <w:rsid w:val="00FD47B8"/>
    <w:rsid w:val="00FD49C9"/>
    <w:rsid w:val="00FD4A1F"/>
    <w:rsid w:val="00FD4B09"/>
    <w:rsid w:val="00FD4C3D"/>
    <w:rsid w:val="00FD5004"/>
    <w:rsid w:val="00FD5BC4"/>
    <w:rsid w:val="00FD6354"/>
    <w:rsid w:val="00FD63A3"/>
    <w:rsid w:val="00FD64A1"/>
    <w:rsid w:val="00FD70FD"/>
    <w:rsid w:val="00FD7BE6"/>
    <w:rsid w:val="00FE0748"/>
    <w:rsid w:val="00FE13CA"/>
    <w:rsid w:val="00FE1654"/>
    <w:rsid w:val="00FE1885"/>
    <w:rsid w:val="00FE1CCE"/>
    <w:rsid w:val="00FE28CF"/>
    <w:rsid w:val="00FE2ACF"/>
    <w:rsid w:val="00FE2E3F"/>
    <w:rsid w:val="00FE2E60"/>
    <w:rsid w:val="00FE31EB"/>
    <w:rsid w:val="00FE3217"/>
    <w:rsid w:val="00FE371F"/>
    <w:rsid w:val="00FE3BC1"/>
    <w:rsid w:val="00FE3F1E"/>
    <w:rsid w:val="00FE42C3"/>
    <w:rsid w:val="00FE4F69"/>
    <w:rsid w:val="00FE5066"/>
    <w:rsid w:val="00FE512B"/>
    <w:rsid w:val="00FE5603"/>
    <w:rsid w:val="00FE56A5"/>
    <w:rsid w:val="00FE5A6A"/>
    <w:rsid w:val="00FE5DA7"/>
    <w:rsid w:val="00FE6090"/>
    <w:rsid w:val="00FE64F5"/>
    <w:rsid w:val="00FE7272"/>
    <w:rsid w:val="00FE7673"/>
    <w:rsid w:val="00FE7970"/>
    <w:rsid w:val="00FE7E75"/>
    <w:rsid w:val="00FF00C6"/>
    <w:rsid w:val="00FF017F"/>
    <w:rsid w:val="00FF0A61"/>
    <w:rsid w:val="00FF1603"/>
    <w:rsid w:val="00FF17B9"/>
    <w:rsid w:val="00FF1805"/>
    <w:rsid w:val="00FF2EC8"/>
    <w:rsid w:val="00FF30CA"/>
    <w:rsid w:val="00FF3486"/>
    <w:rsid w:val="00FF348D"/>
    <w:rsid w:val="00FF34D4"/>
    <w:rsid w:val="00FF3587"/>
    <w:rsid w:val="00FF35CB"/>
    <w:rsid w:val="00FF3B45"/>
    <w:rsid w:val="00FF3ECC"/>
    <w:rsid w:val="00FF402E"/>
    <w:rsid w:val="00FF407E"/>
    <w:rsid w:val="00FF4332"/>
    <w:rsid w:val="00FF45AB"/>
    <w:rsid w:val="00FF47C9"/>
    <w:rsid w:val="00FF47E6"/>
    <w:rsid w:val="00FF4830"/>
    <w:rsid w:val="00FF4A4C"/>
    <w:rsid w:val="00FF4CE7"/>
    <w:rsid w:val="00FF59FF"/>
    <w:rsid w:val="00FF5AB6"/>
    <w:rsid w:val="00FF5BBC"/>
    <w:rsid w:val="00FF5D24"/>
    <w:rsid w:val="00FF5F9E"/>
    <w:rsid w:val="00FF6569"/>
    <w:rsid w:val="00FF6B03"/>
    <w:rsid w:val="00FF6C7C"/>
    <w:rsid w:val="00FF735C"/>
    <w:rsid w:val="00FF74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31"/>
    <w:lsdException w:name="Title" w:semiHidden="0" w:uiPriority="10" w:unhideWhenUsed="0" w:qFormat="1"/>
    <w:lsdException w:name="Default Paragraph Font" w:uiPriority="1"/>
    <w:lsdException w:name="Message Header" w:uiPriority="0"/>
    <w:lsdException w:name="Subtitle" w:semiHidden="0" w:uiPriority="11" w:unhideWhenUsed="0" w:qFormat="1"/>
    <w:lsdException w:name="Note Heading" w:uiPriority="0"/>
    <w:lsdException w:name="Body Text Indent 2" w:uiPriority="0"/>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nhideWhenUsed="0" w:qFormat="1"/>
    <w:lsdException w:name="Book Title" w:semiHidden="0" w:unhideWhenUsed="0"/>
    <w:lsdException w:name="Bibliography" w:uiPriority="37"/>
    <w:lsdException w:name="TOC Heading" w:uiPriority="39" w:qFormat="1"/>
  </w:latentStyles>
  <w:style w:type="paragraph" w:default="1" w:styleId="Normal">
    <w:name w:val="Normal"/>
    <w:qFormat/>
    <w:rsid w:val="00EC02D0"/>
    <w:pPr>
      <w:tabs>
        <w:tab w:val="left" w:pos="357"/>
      </w:tabs>
      <w:spacing w:before="120" w:after="120"/>
    </w:pPr>
    <w:rPr>
      <w:rFonts w:cs="Arial"/>
      <w:sz w:val="24"/>
      <w:szCs w:val="24"/>
      <w:lang w:eastAsia="en-US"/>
    </w:rPr>
  </w:style>
  <w:style w:type="paragraph" w:styleId="Heading1">
    <w:name w:val="heading 1"/>
    <w:basedOn w:val="Normal"/>
    <w:next w:val="Normal"/>
    <w:link w:val="Heading1Char"/>
    <w:uiPriority w:val="99"/>
    <w:qFormat/>
    <w:rsid w:val="00A77CE2"/>
    <w:pPr>
      <w:keepNext/>
      <w:outlineLvl w:val="0"/>
    </w:pPr>
    <w:rPr>
      <w:rFonts w:cs="Times New Roman"/>
      <w:b/>
      <w:bCs/>
      <w:kern w:val="32"/>
      <w:sz w:val="36"/>
      <w:szCs w:val="32"/>
    </w:rPr>
  </w:style>
  <w:style w:type="paragraph" w:styleId="Heading2">
    <w:name w:val="heading 2"/>
    <w:basedOn w:val="Normal"/>
    <w:next w:val="Normal"/>
    <w:link w:val="Heading2Char"/>
    <w:uiPriority w:val="99"/>
    <w:unhideWhenUsed/>
    <w:qFormat/>
    <w:rsid w:val="00A77CE2"/>
    <w:pPr>
      <w:keepNext/>
      <w:outlineLvl w:val="1"/>
    </w:pPr>
    <w:rPr>
      <w:rFonts w:cs="Times New Roman"/>
      <w:bCs/>
      <w:iCs/>
      <w:sz w:val="32"/>
      <w:szCs w:val="28"/>
      <w:u w:val="single"/>
    </w:rPr>
  </w:style>
  <w:style w:type="paragraph" w:styleId="Heading3">
    <w:name w:val="heading 3"/>
    <w:basedOn w:val="Normal"/>
    <w:next w:val="Normal"/>
    <w:link w:val="Heading3Char"/>
    <w:uiPriority w:val="99"/>
    <w:unhideWhenUsed/>
    <w:qFormat/>
    <w:rsid w:val="00A77CE2"/>
    <w:pPr>
      <w:keepNext/>
      <w:outlineLvl w:val="2"/>
    </w:pPr>
    <w:rPr>
      <w:rFonts w:cs="Times New Roman"/>
      <w:bCs/>
      <w:sz w:val="28"/>
      <w:szCs w:val="26"/>
      <w:u w:val="single"/>
    </w:rPr>
  </w:style>
  <w:style w:type="paragraph" w:styleId="Heading4">
    <w:name w:val="heading 4"/>
    <w:basedOn w:val="Normal"/>
    <w:next w:val="Normal"/>
    <w:link w:val="Heading4Char"/>
    <w:uiPriority w:val="99"/>
    <w:unhideWhenUsed/>
    <w:qFormat/>
    <w:rsid w:val="00A77CE2"/>
    <w:pPr>
      <w:keepNext/>
      <w:outlineLvl w:val="3"/>
    </w:pPr>
    <w:rPr>
      <w:rFonts w:cs="Times New Roman"/>
      <w:bCs/>
      <w:sz w:val="26"/>
      <w:szCs w:val="28"/>
      <w:u w:val="single"/>
    </w:rPr>
  </w:style>
  <w:style w:type="paragraph" w:styleId="Heading5">
    <w:name w:val="heading 5"/>
    <w:basedOn w:val="Normal"/>
    <w:next w:val="Normal"/>
    <w:link w:val="Heading5Char"/>
    <w:uiPriority w:val="99"/>
    <w:unhideWhenUsed/>
    <w:qFormat/>
    <w:rsid w:val="00A77CE2"/>
    <w:pPr>
      <w:keepNext/>
      <w:outlineLvl w:val="4"/>
    </w:pPr>
    <w:rPr>
      <w:rFonts w:cs="Times New Roman"/>
      <w:bCs/>
      <w:iCs/>
      <w:szCs w:val="26"/>
      <w:u w:val="single"/>
    </w:rPr>
  </w:style>
  <w:style w:type="paragraph" w:styleId="Heading6">
    <w:name w:val="heading 6"/>
    <w:basedOn w:val="Normal"/>
    <w:next w:val="Normal"/>
    <w:link w:val="Heading6Char"/>
    <w:uiPriority w:val="99"/>
    <w:qFormat/>
    <w:rsid w:val="00187AEC"/>
    <w:pPr>
      <w:spacing w:before="0"/>
      <w:outlineLvl w:val="5"/>
    </w:pPr>
    <w:rPr>
      <w:smallCaps/>
      <w:color w:val="C0504D"/>
      <w:spacing w:val="5"/>
      <w:szCs w:val="22"/>
      <w:lang w:val="en-GB" w:eastAsia="en-AU"/>
    </w:rPr>
  </w:style>
  <w:style w:type="paragraph" w:styleId="Heading7">
    <w:name w:val="heading 7"/>
    <w:basedOn w:val="Normal"/>
    <w:next w:val="Normal"/>
    <w:link w:val="Heading7Char"/>
    <w:uiPriority w:val="99"/>
    <w:qFormat/>
    <w:rsid w:val="00187AEC"/>
    <w:pPr>
      <w:spacing w:before="0"/>
      <w:outlineLvl w:val="6"/>
    </w:pPr>
    <w:rPr>
      <w:b/>
      <w:smallCaps/>
      <w:color w:val="C0504D"/>
      <w:spacing w:val="10"/>
      <w:szCs w:val="22"/>
      <w:lang w:val="en-GB" w:eastAsia="en-AU"/>
    </w:rPr>
  </w:style>
  <w:style w:type="paragraph" w:styleId="Heading8">
    <w:name w:val="heading 8"/>
    <w:basedOn w:val="Normal"/>
    <w:next w:val="Normal"/>
    <w:link w:val="Heading8Char"/>
    <w:uiPriority w:val="99"/>
    <w:qFormat/>
    <w:rsid w:val="00187AEC"/>
    <w:pPr>
      <w:spacing w:before="0"/>
      <w:outlineLvl w:val="7"/>
    </w:pPr>
    <w:rPr>
      <w:b/>
      <w:i/>
      <w:smallCaps/>
      <w:color w:val="943634"/>
      <w:szCs w:val="22"/>
      <w:lang w:val="en-GB" w:eastAsia="en-AU"/>
    </w:rPr>
  </w:style>
  <w:style w:type="paragraph" w:styleId="Heading9">
    <w:name w:val="heading 9"/>
    <w:basedOn w:val="Normal"/>
    <w:next w:val="Normal"/>
    <w:link w:val="Heading9Char"/>
    <w:uiPriority w:val="99"/>
    <w:qFormat/>
    <w:rsid w:val="00187AEC"/>
    <w:pPr>
      <w:spacing w:before="0"/>
      <w:outlineLvl w:val="8"/>
    </w:pPr>
    <w:rPr>
      <w:b/>
      <w:i/>
      <w:smallCaps/>
      <w:color w:val="622423"/>
      <w:szCs w:val="22"/>
      <w:lang w:val="en-GB"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A77CE2"/>
    <w:rPr>
      <w:b/>
      <w:bCs/>
      <w:kern w:val="32"/>
      <w:sz w:val="36"/>
      <w:szCs w:val="32"/>
      <w:lang w:eastAsia="en-US"/>
    </w:rPr>
  </w:style>
  <w:style w:type="character" w:customStyle="1" w:styleId="Heading2Char">
    <w:name w:val="Heading 2 Char"/>
    <w:link w:val="Heading2"/>
    <w:uiPriority w:val="99"/>
    <w:rsid w:val="00A77CE2"/>
    <w:rPr>
      <w:bCs/>
      <w:iCs/>
      <w:sz w:val="32"/>
      <w:szCs w:val="28"/>
      <w:u w:val="single"/>
      <w:lang w:eastAsia="en-US"/>
    </w:rPr>
  </w:style>
  <w:style w:type="character" w:customStyle="1" w:styleId="Heading3Char">
    <w:name w:val="Heading 3 Char"/>
    <w:link w:val="Heading3"/>
    <w:uiPriority w:val="99"/>
    <w:rsid w:val="00A77CE2"/>
    <w:rPr>
      <w:bCs/>
      <w:sz w:val="28"/>
      <w:szCs w:val="26"/>
      <w:u w:val="single"/>
      <w:lang w:eastAsia="en-US"/>
    </w:rPr>
  </w:style>
  <w:style w:type="character" w:customStyle="1" w:styleId="Heading4Char">
    <w:name w:val="Heading 4 Char"/>
    <w:link w:val="Heading4"/>
    <w:uiPriority w:val="99"/>
    <w:rsid w:val="00A77CE2"/>
    <w:rPr>
      <w:bCs/>
      <w:sz w:val="26"/>
      <w:szCs w:val="28"/>
      <w:u w:val="single"/>
      <w:lang w:eastAsia="en-US"/>
    </w:rPr>
  </w:style>
  <w:style w:type="character" w:customStyle="1" w:styleId="Heading5Char">
    <w:name w:val="Heading 5 Char"/>
    <w:link w:val="Heading5"/>
    <w:uiPriority w:val="99"/>
    <w:rsid w:val="00A77CE2"/>
    <w:rPr>
      <w:bCs/>
      <w:iCs/>
      <w:sz w:val="24"/>
      <w:szCs w:val="26"/>
      <w:u w:val="single"/>
      <w:lang w:eastAsia="en-US"/>
    </w:rPr>
  </w:style>
  <w:style w:type="character" w:customStyle="1" w:styleId="Heading6Char">
    <w:name w:val="Heading 6 Char"/>
    <w:link w:val="Heading6"/>
    <w:uiPriority w:val="99"/>
    <w:rsid w:val="00187AEC"/>
    <w:rPr>
      <w:rFonts w:ascii="Arial" w:hAnsi="Arial" w:cs="Arial"/>
      <w:smallCaps/>
      <w:color w:val="C0504D"/>
      <w:spacing w:val="5"/>
      <w:szCs w:val="22"/>
      <w:lang w:val="en-GB"/>
    </w:rPr>
  </w:style>
  <w:style w:type="character" w:customStyle="1" w:styleId="Heading7Char">
    <w:name w:val="Heading 7 Char"/>
    <w:link w:val="Heading7"/>
    <w:uiPriority w:val="99"/>
    <w:rsid w:val="00187AEC"/>
    <w:rPr>
      <w:rFonts w:ascii="Arial" w:hAnsi="Arial" w:cs="Arial"/>
      <w:b/>
      <w:smallCaps/>
      <w:color w:val="C0504D"/>
      <w:spacing w:val="10"/>
      <w:szCs w:val="22"/>
      <w:lang w:val="en-GB"/>
    </w:rPr>
  </w:style>
  <w:style w:type="character" w:customStyle="1" w:styleId="Heading8Char">
    <w:name w:val="Heading 8 Char"/>
    <w:link w:val="Heading8"/>
    <w:uiPriority w:val="99"/>
    <w:rsid w:val="00187AEC"/>
    <w:rPr>
      <w:rFonts w:ascii="Arial" w:hAnsi="Arial" w:cs="Arial"/>
      <w:b/>
      <w:i/>
      <w:smallCaps/>
      <w:color w:val="943634"/>
      <w:szCs w:val="22"/>
      <w:lang w:val="en-GB"/>
    </w:rPr>
  </w:style>
  <w:style w:type="character" w:customStyle="1" w:styleId="Heading9Char">
    <w:name w:val="Heading 9 Char"/>
    <w:link w:val="Heading9"/>
    <w:uiPriority w:val="99"/>
    <w:rsid w:val="00187AEC"/>
    <w:rPr>
      <w:rFonts w:ascii="Arial" w:hAnsi="Arial" w:cs="Arial"/>
      <w:b/>
      <w:i/>
      <w:smallCaps/>
      <w:color w:val="622423"/>
      <w:szCs w:val="22"/>
      <w:lang w:val="en-GB"/>
    </w:rPr>
  </w:style>
  <w:style w:type="paragraph" w:styleId="FootnoteText">
    <w:name w:val="footnote text"/>
    <w:aliases w:val="single space Char,single space,FOOTNOTES,fn,ADB,WB-Fußnotentext,Fußnote,WB-Fuﬂnotentext,Fuﬂnote,Car,Note de bas de page2,Note de basFootnote text,(NECG) Footnote Text"/>
    <w:basedOn w:val="Normal"/>
    <w:link w:val="FootnoteTextChar"/>
    <w:uiPriority w:val="99"/>
    <w:unhideWhenUsed/>
    <w:qFormat/>
    <w:rsid w:val="00C53110"/>
    <w:pPr>
      <w:spacing w:before="60" w:after="0"/>
      <w:ind w:left="113" w:hanging="113"/>
    </w:pPr>
    <w:rPr>
      <w:sz w:val="18"/>
      <w:szCs w:val="20"/>
    </w:rPr>
  </w:style>
  <w:style w:type="character" w:customStyle="1" w:styleId="FootnoteTextChar">
    <w:name w:val="Footnote Text Char"/>
    <w:aliases w:val="single space Char Char,single space Char1,FOOTNOTES Char,fn Char,ADB Char,WB-Fußnotentext Char,Fußnote Char,WB-Fuﬂnotentext Char,Fuﬂnote Char,Car Char,Note de bas de page2 Char,Note de basFootnote text Char,(NECG) Footnote Text Char"/>
    <w:link w:val="FootnoteText"/>
    <w:uiPriority w:val="99"/>
    <w:rsid w:val="00C53110"/>
    <w:rPr>
      <w:rFonts w:cs="Arial"/>
      <w:sz w:val="18"/>
      <w:lang w:eastAsia="en-US"/>
    </w:rPr>
  </w:style>
  <w:style w:type="paragraph" w:customStyle="1" w:styleId="Quotation">
    <w:name w:val="Quotation"/>
    <w:basedOn w:val="Normal"/>
    <w:qFormat/>
    <w:rsid w:val="00F64BC1"/>
    <w:pPr>
      <w:tabs>
        <w:tab w:val="left" w:pos="3553"/>
      </w:tabs>
      <w:spacing w:before="60" w:after="60"/>
    </w:pPr>
    <w:rPr>
      <w:i/>
      <w:sz w:val="22"/>
    </w:rPr>
  </w:style>
  <w:style w:type="table" w:styleId="TableGrid">
    <w:name w:val="Table Grid"/>
    <w:basedOn w:val="TableNormal"/>
    <w:uiPriority w:val="59"/>
    <w:rsid w:val="009219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AB1AD8"/>
    <w:pPr>
      <w:tabs>
        <w:tab w:val="clear" w:pos="357"/>
      </w:tabs>
      <w:spacing w:before="100" w:beforeAutospacing="1" w:after="100" w:afterAutospacing="1"/>
    </w:pPr>
    <w:rPr>
      <w:rFonts w:eastAsia="Calibri"/>
    </w:rPr>
  </w:style>
  <w:style w:type="paragraph" w:styleId="NoSpacing">
    <w:name w:val="No Spacing"/>
    <w:aliases w:val="Quotations"/>
    <w:link w:val="NoSpacingChar"/>
    <w:uiPriority w:val="1"/>
    <w:qFormat/>
    <w:rsid w:val="00003879"/>
    <w:rPr>
      <w:sz w:val="22"/>
      <w:szCs w:val="22"/>
    </w:rPr>
  </w:style>
  <w:style w:type="character" w:customStyle="1" w:styleId="NoSpacingChar">
    <w:name w:val="No Spacing Char"/>
    <w:aliases w:val="Quotations Char"/>
    <w:link w:val="NoSpacing"/>
    <w:uiPriority w:val="1"/>
    <w:rsid w:val="00003879"/>
    <w:rPr>
      <w:sz w:val="22"/>
      <w:szCs w:val="22"/>
    </w:rPr>
  </w:style>
  <w:style w:type="character" w:styleId="CommentReference">
    <w:name w:val="annotation reference"/>
    <w:uiPriority w:val="99"/>
    <w:unhideWhenUsed/>
    <w:rsid w:val="00003879"/>
    <w:rPr>
      <w:sz w:val="16"/>
      <w:szCs w:val="16"/>
    </w:rPr>
  </w:style>
  <w:style w:type="paragraph" w:styleId="CommentText">
    <w:name w:val="annotation text"/>
    <w:basedOn w:val="Normal"/>
    <w:link w:val="CommentTextChar"/>
    <w:uiPriority w:val="99"/>
    <w:unhideWhenUsed/>
    <w:rsid w:val="00003879"/>
    <w:rPr>
      <w:rFonts w:cs="Times New Roman"/>
      <w:sz w:val="20"/>
      <w:szCs w:val="20"/>
      <w:lang w:val="x-none" w:eastAsia="x-none"/>
    </w:rPr>
  </w:style>
  <w:style w:type="character" w:customStyle="1" w:styleId="CommentTextChar">
    <w:name w:val="Comment Text Char"/>
    <w:link w:val="CommentText"/>
    <w:uiPriority w:val="99"/>
    <w:rsid w:val="00003879"/>
    <w:rPr>
      <w:lang w:val="x-none" w:eastAsia="x-none"/>
    </w:rPr>
  </w:style>
  <w:style w:type="paragraph" w:styleId="BalloonText">
    <w:name w:val="Balloon Text"/>
    <w:basedOn w:val="Normal"/>
    <w:link w:val="BalloonTextChar"/>
    <w:uiPriority w:val="99"/>
    <w:semiHidden/>
    <w:unhideWhenUsed/>
    <w:rsid w:val="00003879"/>
    <w:pPr>
      <w:spacing w:after="0"/>
    </w:pPr>
    <w:rPr>
      <w:rFonts w:ascii="Tahoma" w:hAnsi="Tahoma" w:cs="Tahoma"/>
      <w:sz w:val="16"/>
      <w:szCs w:val="16"/>
    </w:rPr>
  </w:style>
  <w:style w:type="character" w:customStyle="1" w:styleId="BalloonTextChar">
    <w:name w:val="Balloon Text Char"/>
    <w:link w:val="BalloonText"/>
    <w:uiPriority w:val="99"/>
    <w:semiHidden/>
    <w:rsid w:val="00003879"/>
    <w:rPr>
      <w:rFonts w:ascii="Tahoma" w:hAnsi="Tahoma" w:cs="Tahoma"/>
      <w:sz w:val="16"/>
      <w:szCs w:val="16"/>
      <w:lang w:eastAsia="en-US"/>
    </w:rPr>
  </w:style>
  <w:style w:type="paragraph" w:styleId="Header">
    <w:name w:val="header"/>
    <w:basedOn w:val="Normal"/>
    <w:link w:val="HeaderChar"/>
    <w:uiPriority w:val="99"/>
    <w:unhideWhenUsed/>
    <w:rsid w:val="00003879"/>
    <w:pPr>
      <w:tabs>
        <w:tab w:val="clear" w:pos="357"/>
        <w:tab w:val="center" w:pos="4513"/>
        <w:tab w:val="right" w:pos="9026"/>
      </w:tabs>
    </w:pPr>
  </w:style>
  <w:style w:type="character" w:customStyle="1" w:styleId="HeaderChar">
    <w:name w:val="Header Char"/>
    <w:link w:val="Header"/>
    <w:uiPriority w:val="99"/>
    <w:rsid w:val="00003879"/>
    <w:rPr>
      <w:rFonts w:cs="Arial"/>
      <w:sz w:val="22"/>
      <w:szCs w:val="24"/>
      <w:lang w:eastAsia="en-US"/>
    </w:rPr>
  </w:style>
  <w:style w:type="paragraph" w:styleId="Footer">
    <w:name w:val="footer"/>
    <w:basedOn w:val="Normal"/>
    <w:link w:val="FooterChar"/>
    <w:uiPriority w:val="99"/>
    <w:unhideWhenUsed/>
    <w:rsid w:val="00003879"/>
    <w:pPr>
      <w:tabs>
        <w:tab w:val="clear" w:pos="357"/>
        <w:tab w:val="center" w:pos="4513"/>
        <w:tab w:val="right" w:pos="9026"/>
      </w:tabs>
    </w:pPr>
  </w:style>
  <w:style w:type="character" w:customStyle="1" w:styleId="FooterChar">
    <w:name w:val="Footer Char"/>
    <w:link w:val="Footer"/>
    <w:uiPriority w:val="99"/>
    <w:rsid w:val="00003879"/>
    <w:rPr>
      <w:rFonts w:cs="Arial"/>
      <w:sz w:val="22"/>
      <w:szCs w:val="24"/>
      <w:lang w:eastAsia="en-US"/>
    </w:rPr>
  </w:style>
  <w:style w:type="character" w:styleId="PageNumber">
    <w:name w:val="page number"/>
    <w:basedOn w:val="DefaultParagraphFont"/>
    <w:uiPriority w:val="99"/>
    <w:rsid w:val="00003879"/>
  </w:style>
  <w:style w:type="paragraph" w:styleId="TOC1">
    <w:name w:val="toc 1"/>
    <w:basedOn w:val="Normal"/>
    <w:next w:val="Normal"/>
    <w:autoRedefine/>
    <w:uiPriority w:val="39"/>
    <w:unhideWhenUsed/>
    <w:qFormat/>
    <w:rsid w:val="00062C81"/>
    <w:pPr>
      <w:tabs>
        <w:tab w:val="clear" w:pos="357"/>
        <w:tab w:val="right" w:leader="dot" w:pos="9027"/>
      </w:tabs>
    </w:pPr>
    <w:rPr>
      <w:bCs/>
      <w:szCs w:val="20"/>
    </w:rPr>
  </w:style>
  <w:style w:type="character" w:styleId="Hyperlink">
    <w:name w:val="Hyperlink"/>
    <w:uiPriority w:val="99"/>
    <w:unhideWhenUsed/>
    <w:qFormat/>
    <w:rsid w:val="00B668BF"/>
    <w:rPr>
      <w:color w:val="0000FF"/>
      <w:u w:val="single"/>
    </w:rPr>
  </w:style>
  <w:style w:type="paragraph" w:styleId="TOC2">
    <w:name w:val="toc 2"/>
    <w:basedOn w:val="Normal"/>
    <w:next w:val="Normal"/>
    <w:autoRedefine/>
    <w:uiPriority w:val="39"/>
    <w:unhideWhenUsed/>
    <w:qFormat/>
    <w:rsid w:val="00062C81"/>
    <w:pPr>
      <w:tabs>
        <w:tab w:val="clear" w:pos="357"/>
        <w:tab w:val="right" w:leader="dot" w:pos="9027"/>
      </w:tabs>
      <w:ind w:left="238"/>
    </w:pPr>
    <w:rPr>
      <w:szCs w:val="20"/>
    </w:rPr>
  </w:style>
  <w:style w:type="paragraph" w:styleId="TOC3">
    <w:name w:val="toc 3"/>
    <w:basedOn w:val="Normal"/>
    <w:next w:val="Normal"/>
    <w:autoRedefine/>
    <w:uiPriority w:val="39"/>
    <w:unhideWhenUsed/>
    <w:qFormat/>
    <w:rsid w:val="00062C81"/>
    <w:pPr>
      <w:tabs>
        <w:tab w:val="clear" w:pos="357"/>
        <w:tab w:val="right" w:leader="dot" w:pos="9027"/>
      </w:tabs>
      <w:ind w:left="482"/>
    </w:pPr>
    <w:rPr>
      <w:iCs/>
      <w:szCs w:val="20"/>
    </w:rPr>
  </w:style>
  <w:style w:type="character" w:styleId="FollowedHyperlink">
    <w:name w:val="FollowedHyperlink"/>
    <w:uiPriority w:val="99"/>
    <w:unhideWhenUsed/>
    <w:rsid w:val="00E15D08"/>
    <w:rPr>
      <w:color w:val="800080"/>
      <w:u w:val="single"/>
    </w:rPr>
  </w:style>
  <w:style w:type="paragraph" w:styleId="Caption">
    <w:name w:val="caption"/>
    <w:basedOn w:val="Normal"/>
    <w:next w:val="Normal"/>
    <w:uiPriority w:val="35"/>
    <w:unhideWhenUsed/>
    <w:qFormat/>
    <w:rsid w:val="00AB1837"/>
    <w:pPr>
      <w:spacing w:after="60"/>
    </w:pPr>
    <w:rPr>
      <w:rFonts w:ascii="Arial" w:hAnsi="Arial"/>
      <w:b/>
      <w:bCs/>
      <w:sz w:val="18"/>
      <w:szCs w:val="20"/>
    </w:rPr>
  </w:style>
  <w:style w:type="paragraph" w:styleId="TableofFigures">
    <w:name w:val="table of figures"/>
    <w:basedOn w:val="Normal"/>
    <w:next w:val="Normal"/>
    <w:uiPriority w:val="99"/>
    <w:unhideWhenUsed/>
    <w:rsid w:val="00AB1837"/>
    <w:pPr>
      <w:tabs>
        <w:tab w:val="clear" w:pos="357"/>
      </w:tabs>
    </w:pPr>
  </w:style>
  <w:style w:type="paragraph" w:customStyle="1" w:styleId="BulletPoints">
    <w:name w:val="Bullet Points"/>
    <w:basedOn w:val="Normal"/>
    <w:link w:val="BulletPointsChar"/>
    <w:qFormat/>
    <w:rsid w:val="006D4624"/>
    <w:pPr>
      <w:numPr>
        <w:numId w:val="1"/>
      </w:numPr>
      <w:spacing w:after="60"/>
      <w:ind w:left="357" w:hanging="357"/>
    </w:pPr>
  </w:style>
  <w:style w:type="character" w:customStyle="1" w:styleId="BulletPointsChar">
    <w:name w:val="Bullet Points Char"/>
    <w:link w:val="BulletPoints"/>
    <w:rsid w:val="006D4624"/>
    <w:rPr>
      <w:rFonts w:cs="Arial"/>
      <w:sz w:val="24"/>
      <w:szCs w:val="24"/>
      <w:lang w:eastAsia="en-US"/>
    </w:rPr>
  </w:style>
  <w:style w:type="paragraph" w:customStyle="1" w:styleId="Bullet2ndLevel">
    <w:name w:val="Bullet 2nd Level"/>
    <w:basedOn w:val="BulletPoints"/>
    <w:link w:val="Bullet2ndLevelChar"/>
    <w:qFormat/>
    <w:rsid w:val="00966148"/>
    <w:pPr>
      <w:numPr>
        <w:ilvl w:val="1"/>
        <w:numId w:val="2"/>
      </w:numPr>
      <w:spacing w:after="120"/>
      <w:ind w:left="717"/>
    </w:pPr>
  </w:style>
  <w:style w:type="character" w:customStyle="1" w:styleId="Bullet2ndLevelChar">
    <w:name w:val="Bullet 2nd Level Char"/>
    <w:link w:val="Bullet2ndLevel"/>
    <w:rsid w:val="00966148"/>
    <w:rPr>
      <w:rFonts w:cs="Arial"/>
      <w:sz w:val="24"/>
      <w:szCs w:val="24"/>
      <w:lang w:eastAsia="en-US"/>
    </w:rPr>
  </w:style>
  <w:style w:type="paragraph" w:customStyle="1" w:styleId="NumberedPoints">
    <w:name w:val="Numbered Points"/>
    <w:basedOn w:val="Normal"/>
    <w:link w:val="NumberedPointsChar"/>
    <w:qFormat/>
    <w:rsid w:val="001F6FD6"/>
    <w:pPr>
      <w:numPr>
        <w:numId w:val="3"/>
      </w:numPr>
    </w:pPr>
  </w:style>
  <w:style w:type="character" w:customStyle="1" w:styleId="NumberedPointsChar">
    <w:name w:val="Numbered Points Char"/>
    <w:link w:val="NumberedPoints"/>
    <w:rsid w:val="001F6FD6"/>
    <w:rPr>
      <w:rFonts w:cs="Arial"/>
      <w:sz w:val="24"/>
      <w:szCs w:val="24"/>
      <w:lang w:eastAsia="en-US"/>
    </w:rPr>
  </w:style>
  <w:style w:type="paragraph" w:customStyle="1" w:styleId="TblHeading">
    <w:name w:val="Tbl Heading"/>
    <w:basedOn w:val="BulletPoints"/>
    <w:link w:val="TblHeadingChar"/>
    <w:qFormat/>
    <w:rsid w:val="008937F2"/>
    <w:pPr>
      <w:numPr>
        <w:numId w:val="0"/>
      </w:numPr>
      <w:spacing w:before="60" w:after="120"/>
    </w:pPr>
    <w:rPr>
      <w:b/>
      <w:sz w:val="22"/>
      <w:szCs w:val="22"/>
    </w:rPr>
  </w:style>
  <w:style w:type="character" w:customStyle="1" w:styleId="TblHeadingChar">
    <w:name w:val="Tbl Heading Char"/>
    <w:link w:val="TblHeading"/>
    <w:rsid w:val="008937F2"/>
    <w:rPr>
      <w:rFonts w:cs="Arial"/>
      <w:b/>
      <w:sz w:val="22"/>
      <w:szCs w:val="22"/>
      <w:lang w:eastAsia="en-US"/>
    </w:rPr>
  </w:style>
  <w:style w:type="paragraph" w:customStyle="1" w:styleId="TblText">
    <w:name w:val="Tbl Text"/>
    <w:basedOn w:val="Normal"/>
    <w:link w:val="TblTextChar"/>
    <w:qFormat/>
    <w:rsid w:val="005F7BA0"/>
    <w:pPr>
      <w:spacing w:before="40" w:after="40"/>
    </w:pPr>
    <w:rPr>
      <w:sz w:val="18"/>
      <w:szCs w:val="18"/>
    </w:rPr>
  </w:style>
  <w:style w:type="character" w:customStyle="1" w:styleId="TblTextChar">
    <w:name w:val="Tbl Text Char"/>
    <w:link w:val="TblText"/>
    <w:rsid w:val="005F7BA0"/>
    <w:rPr>
      <w:rFonts w:ascii="Arial" w:hAnsi="Arial" w:cs="Arial"/>
      <w:sz w:val="18"/>
      <w:szCs w:val="18"/>
      <w:lang w:eastAsia="en-US"/>
    </w:rPr>
  </w:style>
  <w:style w:type="paragraph" w:customStyle="1" w:styleId="Bullet">
    <w:name w:val="Bullet"/>
    <w:basedOn w:val="BulletPoints"/>
    <w:next w:val="BulletPoints"/>
    <w:link w:val="BulletChar"/>
    <w:qFormat/>
    <w:rsid w:val="00EC7A74"/>
    <w:pPr>
      <w:numPr>
        <w:numId w:val="4"/>
      </w:numPr>
      <w:spacing w:before="40" w:after="40"/>
    </w:pPr>
    <w:rPr>
      <w:szCs w:val="18"/>
    </w:rPr>
  </w:style>
  <w:style w:type="character" w:customStyle="1" w:styleId="BulletChar">
    <w:name w:val="Bullet Char"/>
    <w:link w:val="Bullet"/>
    <w:rsid w:val="00EC7A74"/>
    <w:rPr>
      <w:rFonts w:cs="Arial"/>
      <w:sz w:val="24"/>
      <w:szCs w:val="18"/>
      <w:lang w:eastAsia="en-US"/>
    </w:rPr>
  </w:style>
  <w:style w:type="paragraph" w:styleId="TOCHeading">
    <w:name w:val="TOC Heading"/>
    <w:basedOn w:val="Heading1"/>
    <w:next w:val="Normal"/>
    <w:uiPriority w:val="39"/>
    <w:unhideWhenUsed/>
    <w:qFormat/>
    <w:rsid w:val="008937F2"/>
    <w:pPr>
      <w:spacing w:before="240" w:after="360"/>
      <w:jc w:val="both"/>
      <w:outlineLvl w:val="9"/>
    </w:pPr>
    <w:rPr>
      <w:rFonts w:ascii="Cambria" w:hAnsi="Cambria"/>
      <w:sz w:val="32"/>
    </w:rPr>
  </w:style>
  <w:style w:type="character" w:styleId="FootnoteReference">
    <w:name w:val="footnote reference"/>
    <w:aliases w:val="Footnote text,ftref,BVI fnr,FNRefe,(NECG) Footnote Reference,-E Fu§notenzeichen,-E Fußnotenzeichen,-E Fuﬂnotenzeichen,11,11 p,11 pt,16 Point,????,Footnote Reference1,Ref,Ref1,Superscript 6 Point,de nota al pie,de nota al pie1,註??腳內—e"/>
    <w:link w:val="CharChar6CharCharCharCharCharChar"/>
    <w:uiPriority w:val="31"/>
    <w:rsid w:val="00E02B99"/>
    <w:rPr>
      <w:vertAlign w:val="superscript"/>
    </w:rPr>
  </w:style>
  <w:style w:type="paragraph" w:styleId="ListParagraph">
    <w:name w:val="List Paragraph"/>
    <w:aliases w:val="List Paragraph1,List Paragraph11,Recommendation"/>
    <w:basedOn w:val="Normal"/>
    <w:link w:val="ListParagraphChar"/>
    <w:uiPriority w:val="34"/>
    <w:qFormat/>
    <w:rsid w:val="00E02B99"/>
    <w:pPr>
      <w:ind w:left="720"/>
      <w:contextualSpacing/>
    </w:pPr>
    <w:rPr>
      <w:rFonts w:eastAsia="Calibri" w:cs="Times New Roman"/>
      <w:sz w:val="22"/>
      <w:szCs w:val="22"/>
    </w:rPr>
  </w:style>
  <w:style w:type="character" w:customStyle="1" w:styleId="ListParagraphChar">
    <w:name w:val="List Paragraph Char"/>
    <w:aliases w:val="List Paragraph1 Char,List Paragraph11 Char,Recommendation Char"/>
    <w:link w:val="ListParagraph"/>
    <w:uiPriority w:val="34"/>
    <w:rsid w:val="00E02B99"/>
    <w:rPr>
      <w:rFonts w:eastAsia="Calibri"/>
      <w:sz w:val="22"/>
      <w:szCs w:val="22"/>
      <w:lang w:eastAsia="en-US"/>
    </w:rPr>
  </w:style>
  <w:style w:type="paragraph" w:styleId="MessageHeader">
    <w:name w:val="Message Header"/>
    <w:basedOn w:val="Normal"/>
    <w:link w:val="MessageHeaderChar"/>
    <w:semiHidden/>
    <w:rsid w:val="00E02B99"/>
    <w:pPr>
      <w:numPr>
        <w:numId w:val="5"/>
      </w:numPr>
      <w:pBdr>
        <w:top w:val="single" w:sz="6" w:space="1" w:color="auto"/>
        <w:left w:val="single" w:sz="6" w:space="1" w:color="auto"/>
        <w:bottom w:val="single" w:sz="6" w:space="1" w:color="auto"/>
        <w:right w:val="single" w:sz="6" w:space="1" w:color="auto"/>
      </w:pBdr>
      <w:shd w:val="pct20" w:color="auto" w:fill="auto"/>
      <w:tabs>
        <w:tab w:val="clear" w:pos="357"/>
        <w:tab w:val="clear" w:pos="926"/>
      </w:tabs>
      <w:ind w:left="1134" w:hanging="1134"/>
    </w:pPr>
    <w:rPr>
      <w:snapToGrid w:val="0"/>
      <w:lang w:eastAsia="en-AU"/>
    </w:rPr>
  </w:style>
  <w:style w:type="character" w:customStyle="1" w:styleId="MessageHeaderChar">
    <w:name w:val="Message Header Char"/>
    <w:link w:val="MessageHeader"/>
    <w:semiHidden/>
    <w:rsid w:val="00E02B99"/>
    <w:rPr>
      <w:rFonts w:cs="Arial"/>
      <w:snapToGrid w:val="0"/>
      <w:sz w:val="24"/>
      <w:szCs w:val="24"/>
      <w:shd w:val="pct20" w:color="auto" w:fill="auto"/>
    </w:rPr>
  </w:style>
  <w:style w:type="paragraph" w:styleId="NoteHeading">
    <w:name w:val="Note Heading"/>
    <w:basedOn w:val="Normal"/>
    <w:next w:val="Normal"/>
    <w:link w:val="NoteHeadingChar"/>
    <w:semiHidden/>
    <w:rsid w:val="00E02B99"/>
    <w:pPr>
      <w:numPr>
        <w:numId w:val="6"/>
      </w:numPr>
      <w:tabs>
        <w:tab w:val="clear" w:pos="357"/>
        <w:tab w:val="clear" w:pos="1492"/>
      </w:tabs>
      <w:ind w:left="0" w:firstLine="0"/>
    </w:pPr>
    <w:rPr>
      <w:rFonts w:cs="Times New Roman"/>
      <w:snapToGrid w:val="0"/>
      <w:szCs w:val="20"/>
      <w:lang w:eastAsia="en-AU"/>
    </w:rPr>
  </w:style>
  <w:style w:type="character" w:customStyle="1" w:styleId="NoteHeadingChar">
    <w:name w:val="Note Heading Char"/>
    <w:link w:val="NoteHeading"/>
    <w:semiHidden/>
    <w:rsid w:val="00E02B99"/>
    <w:rPr>
      <w:snapToGrid w:val="0"/>
      <w:sz w:val="24"/>
    </w:rPr>
  </w:style>
  <w:style w:type="paragraph" w:customStyle="1" w:styleId="NcondensedChar">
    <w:name w:val="N condensed Char"/>
    <w:basedOn w:val="Normal"/>
    <w:rsid w:val="00E02B99"/>
    <w:pPr>
      <w:numPr>
        <w:numId w:val="7"/>
      </w:numPr>
      <w:tabs>
        <w:tab w:val="clear" w:pos="357"/>
        <w:tab w:val="clear" w:pos="643"/>
      </w:tabs>
      <w:ind w:left="0" w:firstLine="0"/>
    </w:pPr>
    <w:rPr>
      <w:rFonts w:cs="Times New Roman"/>
      <w:snapToGrid w:val="0"/>
      <w:spacing w:val="-2"/>
      <w:sz w:val="22"/>
      <w:szCs w:val="20"/>
    </w:rPr>
  </w:style>
  <w:style w:type="character" w:customStyle="1" w:styleId="apple-converted-space">
    <w:name w:val="apple-converted-space"/>
    <w:rsid w:val="00E02B99"/>
  </w:style>
  <w:style w:type="paragraph" w:styleId="CommentSubject">
    <w:name w:val="annotation subject"/>
    <w:basedOn w:val="CommentText"/>
    <w:next w:val="CommentText"/>
    <w:link w:val="CommentSubjectChar"/>
    <w:uiPriority w:val="99"/>
    <w:semiHidden/>
    <w:unhideWhenUsed/>
    <w:rsid w:val="00BB685A"/>
    <w:rPr>
      <w:rFonts w:cs="Arial"/>
      <w:b/>
      <w:bCs/>
      <w:lang w:val="en-AU" w:eastAsia="en-US"/>
    </w:rPr>
  </w:style>
  <w:style w:type="character" w:customStyle="1" w:styleId="CommentSubjectChar">
    <w:name w:val="Comment Subject Char"/>
    <w:link w:val="CommentSubject"/>
    <w:uiPriority w:val="99"/>
    <w:semiHidden/>
    <w:rsid w:val="00BB685A"/>
    <w:rPr>
      <w:rFonts w:ascii="Arial" w:hAnsi="Arial" w:cs="Arial"/>
      <w:b/>
      <w:bCs/>
      <w:lang w:val="x-none" w:eastAsia="en-US"/>
    </w:rPr>
  </w:style>
  <w:style w:type="paragraph" w:styleId="BodyTextIndent2">
    <w:name w:val="Body Text Indent 2"/>
    <w:basedOn w:val="Normal"/>
    <w:link w:val="BodyTextIndent2Char"/>
    <w:rsid w:val="00432EA7"/>
    <w:pPr>
      <w:widowControl w:val="0"/>
      <w:pBdr>
        <w:top w:val="single" w:sz="6" w:space="3" w:color="auto" w:shadow="1"/>
        <w:left w:val="single" w:sz="6" w:space="3" w:color="auto" w:shadow="1"/>
        <w:bottom w:val="single" w:sz="6" w:space="3" w:color="auto" w:shadow="1"/>
        <w:right w:val="single" w:sz="6" w:space="3" w:color="auto" w:shadow="1"/>
      </w:pBdr>
      <w:shd w:val="pct5" w:color="auto" w:fill="auto"/>
      <w:tabs>
        <w:tab w:val="clear" w:pos="357"/>
      </w:tabs>
      <w:spacing w:after="0"/>
      <w:ind w:firstLine="567"/>
    </w:pPr>
    <w:rPr>
      <w:rFonts w:ascii="Times" w:hAnsi="Times" w:cs="Times New Roman"/>
      <w:i/>
      <w:color w:val="000000"/>
      <w:sz w:val="26"/>
      <w:szCs w:val="20"/>
      <w:lang w:eastAsia="en-AU"/>
    </w:rPr>
  </w:style>
  <w:style w:type="character" w:customStyle="1" w:styleId="BodyTextIndent2Char">
    <w:name w:val="Body Text Indent 2 Char"/>
    <w:link w:val="BodyTextIndent2"/>
    <w:rsid w:val="00432EA7"/>
    <w:rPr>
      <w:rFonts w:ascii="Times" w:hAnsi="Times"/>
      <w:i/>
      <w:color w:val="000000"/>
      <w:sz w:val="26"/>
      <w:shd w:val="pct5" w:color="auto" w:fill="auto"/>
    </w:rPr>
  </w:style>
  <w:style w:type="paragraph" w:styleId="ListBullet">
    <w:name w:val="List Bullet"/>
    <w:basedOn w:val="Normal"/>
    <w:uiPriority w:val="99"/>
    <w:rsid w:val="00B6091A"/>
    <w:pPr>
      <w:tabs>
        <w:tab w:val="clear" w:pos="357"/>
        <w:tab w:val="num" w:pos="360"/>
      </w:tabs>
      <w:spacing w:after="0"/>
      <w:ind w:left="360" w:hanging="360"/>
    </w:pPr>
    <w:rPr>
      <w:rFonts w:ascii="Calibri" w:eastAsia="Calibri" w:hAnsi="Calibri" w:cs="Times New Roman"/>
      <w:sz w:val="22"/>
      <w:szCs w:val="22"/>
    </w:rPr>
  </w:style>
  <w:style w:type="paragraph" w:customStyle="1" w:styleId="Default">
    <w:name w:val="Default"/>
    <w:rsid w:val="00A314A9"/>
    <w:pPr>
      <w:autoSpaceDE w:val="0"/>
      <w:autoSpaceDN w:val="0"/>
      <w:adjustRightInd w:val="0"/>
    </w:pPr>
    <w:rPr>
      <w:color w:val="000000"/>
      <w:sz w:val="24"/>
      <w:szCs w:val="24"/>
    </w:rPr>
  </w:style>
  <w:style w:type="paragraph" w:styleId="Revision">
    <w:name w:val="Revision"/>
    <w:hidden/>
    <w:uiPriority w:val="99"/>
    <w:semiHidden/>
    <w:rsid w:val="0072774F"/>
    <w:rPr>
      <w:rFonts w:ascii="Arial" w:hAnsi="Arial" w:cs="Arial"/>
      <w:szCs w:val="24"/>
      <w:lang w:eastAsia="en-US"/>
    </w:rPr>
  </w:style>
  <w:style w:type="paragraph" w:customStyle="1" w:styleId="PFNumLevel2">
    <w:name w:val="PF (Num) Level 2"/>
    <w:basedOn w:val="Normal"/>
    <w:rsid w:val="00775955"/>
    <w:pPr>
      <w:numPr>
        <w:ilvl w:val="1"/>
        <w:numId w:val="8"/>
      </w:numPr>
      <w:tabs>
        <w:tab w:val="clear" w:pos="357"/>
        <w:tab w:val="left" w:pos="2773"/>
        <w:tab w:val="left" w:pos="3697"/>
        <w:tab w:val="left" w:pos="4621"/>
        <w:tab w:val="left" w:pos="5545"/>
        <w:tab w:val="left" w:pos="6469"/>
        <w:tab w:val="left" w:pos="7394"/>
        <w:tab w:val="left" w:pos="8318"/>
        <w:tab w:val="right" w:pos="8930"/>
      </w:tabs>
      <w:spacing w:line="276" w:lineRule="auto"/>
    </w:pPr>
    <w:rPr>
      <w:rFonts w:cs="Times New Roman"/>
      <w:color w:val="000000"/>
      <w:sz w:val="21"/>
      <w:szCs w:val="20"/>
    </w:rPr>
  </w:style>
  <w:style w:type="paragraph" w:customStyle="1" w:styleId="PFNumLevel3">
    <w:name w:val="PF (Num) Level 3"/>
    <w:basedOn w:val="Normal"/>
    <w:rsid w:val="00775955"/>
    <w:pPr>
      <w:numPr>
        <w:ilvl w:val="2"/>
        <w:numId w:val="8"/>
      </w:numPr>
      <w:tabs>
        <w:tab w:val="clear" w:pos="357"/>
        <w:tab w:val="left" w:pos="3697"/>
        <w:tab w:val="left" w:pos="4621"/>
        <w:tab w:val="left" w:pos="5545"/>
        <w:tab w:val="left" w:pos="6469"/>
        <w:tab w:val="left" w:pos="7394"/>
        <w:tab w:val="left" w:pos="8318"/>
        <w:tab w:val="right" w:pos="8930"/>
      </w:tabs>
      <w:spacing w:line="276" w:lineRule="auto"/>
    </w:pPr>
    <w:rPr>
      <w:rFonts w:cs="Times New Roman"/>
      <w:color w:val="000000"/>
      <w:sz w:val="21"/>
      <w:szCs w:val="20"/>
    </w:rPr>
  </w:style>
  <w:style w:type="paragraph" w:customStyle="1" w:styleId="PFNumLevel4">
    <w:name w:val="PF (Num) Level 4"/>
    <w:basedOn w:val="Normal"/>
    <w:rsid w:val="00775955"/>
    <w:pPr>
      <w:numPr>
        <w:ilvl w:val="3"/>
        <w:numId w:val="8"/>
      </w:numPr>
      <w:tabs>
        <w:tab w:val="clear" w:pos="357"/>
        <w:tab w:val="left" w:pos="4621"/>
        <w:tab w:val="left" w:pos="5545"/>
        <w:tab w:val="left" w:pos="6469"/>
        <w:tab w:val="left" w:pos="7394"/>
        <w:tab w:val="left" w:pos="8318"/>
        <w:tab w:val="right" w:pos="8930"/>
      </w:tabs>
      <w:spacing w:line="276" w:lineRule="auto"/>
    </w:pPr>
    <w:rPr>
      <w:rFonts w:cs="Times New Roman"/>
      <w:color w:val="000000"/>
      <w:sz w:val="21"/>
      <w:szCs w:val="20"/>
    </w:rPr>
  </w:style>
  <w:style w:type="paragraph" w:customStyle="1" w:styleId="PFNumLevel5">
    <w:name w:val="PF (Num) Level 5"/>
    <w:basedOn w:val="Normal"/>
    <w:rsid w:val="00775955"/>
    <w:pPr>
      <w:numPr>
        <w:ilvl w:val="4"/>
        <w:numId w:val="8"/>
      </w:numPr>
      <w:tabs>
        <w:tab w:val="clear" w:pos="357"/>
        <w:tab w:val="left" w:pos="2773"/>
        <w:tab w:val="left" w:pos="3697"/>
        <w:tab w:val="left" w:pos="4621"/>
        <w:tab w:val="left" w:pos="5545"/>
        <w:tab w:val="left" w:pos="6469"/>
        <w:tab w:val="left" w:pos="7394"/>
        <w:tab w:val="left" w:pos="8318"/>
        <w:tab w:val="right" w:pos="8930"/>
      </w:tabs>
      <w:spacing w:line="276" w:lineRule="auto"/>
    </w:pPr>
    <w:rPr>
      <w:rFonts w:cs="Times New Roman"/>
      <w:color w:val="000000"/>
      <w:sz w:val="21"/>
      <w:szCs w:val="20"/>
    </w:rPr>
  </w:style>
  <w:style w:type="paragraph" w:customStyle="1" w:styleId="Heading1A">
    <w:name w:val="Heading 1A"/>
    <w:basedOn w:val="Heading1"/>
    <w:next w:val="Normal"/>
    <w:rsid w:val="00775955"/>
    <w:pPr>
      <w:tabs>
        <w:tab w:val="clear" w:pos="357"/>
        <w:tab w:val="left" w:pos="924"/>
        <w:tab w:val="num" w:pos="1029"/>
        <w:tab w:val="left" w:pos="1848"/>
        <w:tab w:val="left" w:pos="2773"/>
        <w:tab w:val="left" w:pos="3697"/>
        <w:tab w:val="left" w:pos="4621"/>
        <w:tab w:val="left" w:pos="5545"/>
        <w:tab w:val="left" w:pos="6469"/>
        <w:tab w:val="left" w:pos="7394"/>
        <w:tab w:val="left" w:pos="8318"/>
        <w:tab w:val="right" w:pos="8930"/>
      </w:tabs>
      <w:spacing w:before="400" w:line="276" w:lineRule="auto"/>
      <w:ind w:left="1029" w:hanging="924"/>
    </w:pPr>
    <w:rPr>
      <w:bCs w:val="0"/>
      <w:color w:val="000000"/>
      <w:kern w:val="28"/>
      <w:szCs w:val="20"/>
    </w:rPr>
  </w:style>
  <w:style w:type="paragraph" w:customStyle="1" w:styleId="PFNumLevel6">
    <w:name w:val="PF (Num) Level 6"/>
    <w:basedOn w:val="PFNumLevel4"/>
    <w:rsid w:val="00775955"/>
    <w:pPr>
      <w:numPr>
        <w:ilvl w:val="0"/>
        <w:numId w:val="0"/>
      </w:numPr>
      <w:tabs>
        <w:tab w:val="num" w:pos="3697"/>
      </w:tabs>
      <w:ind w:left="3697" w:hanging="924"/>
    </w:pPr>
  </w:style>
  <w:style w:type="character" w:styleId="SubtleEmphasis">
    <w:name w:val="Subtle Emphasis"/>
    <w:aliases w:val="normal text"/>
    <w:uiPriority w:val="19"/>
    <w:qFormat/>
    <w:rsid w:val="00DE39E3"/>
    <w:rPr>
      <w:rFonts w:ascii="Arial" w:hAnsi="Arial"/>
      <w:b w:val="0"/>
      <w:i w:val="0"/>
      <w:iCs/>
      <w:color w:val="auto"/>
      <w:sz w:val="20"/>
    </w:rPr>
  </w:style>
  <w:style w:type="character" w:customStyle="1" w:styleId="citation">
    <w:name w:val="citation"/>
    <w:rsid w:val="00114CDF"/>
  </w:style>
  <w:style w:type="character" w:customStyle="1" w:styleId="ref-journal">
    <w:name w:val="ref-journal"/>
    <w:rsid w:val="00114CDF"/>
  </w:style>
  <w:style w:type="character" w:customStyle="1" w:styleId="ref-vol">
    <w:name w:val="ref-vol"/>
    <w:rsid w:val="00114CDF"/>
  </w:style>
  <w:style w:type="character" w:styleId="Strong">
    <w:name w:val="Strong"/>
    <w:uiPriority w:val="22"/>
    <w:qFormat/>
    <w:rsid w:val="00CB1BCD"/>
    <w:rPr>
      <w:b/>
      <w:bCs/>
    </w:rPr>
  </w:style>
  <w:style w:type="character" w:styleId="Emphasis">
    <w:name w:val="Emphasis"/>
    <w:uiPriority w:val="20"/>
    <w:qFormat/>
    <w:rsid w:val="00271FDC"/>
    <w:rPr>
      <w:i/>
      <w:iCs/>
    </w:rPr>
  </w:style>
  <w:style w:type="paragraph" w:customStyle="1" w:styleId="TblBullet">
    <w:name w:val="Tbl Bullet"/>
    <w:basedOn w:val="Normal"/>
    <w:link w:val="TblBulletChar"/>
    <w:qFormat/>
    <w:rsid w:val="008F5398"/>
    <w:pPr>
      <w:spacing w:before="40" w:after="40"/>
    </w:pPr>
    <w:rPr>
      <w:sz w:val="18"/>
      <w:szCs w:val="18"/>
    </w:rPr>
  </w:style>
  <w:style w:type="character" w:customStyle="1" w:styleId="TblBulletChar">
    <w:name w:val="Tbl Bullet Char"/>
    <w:link w:val="TblBullet"/>
    <w:rsid w:val="008F5398"/>
    <w:rPr>
      <w:rFonts w:ascii="Arial" w:hAnsi="Arial" w:cs="Arial"/>
      <w:sz w:val="18"/>
      <w:szCs w:val="18"/>
      <w:lang w:eastAsia="en-US"/>
    </w:rPr>
  </w:style>
  <w:style w:type="character" w:customStyle="1" w:styleId="A2">
    <w:name w:val="A2"/>
    <w:uiPriority w:val="99"/>
    <w:rsid w:val="00187AEC"/>
    <w:rPr>
      <w:rFonts w:cs="Bliss"/>
      <w:color w:val="000000"/>
      <w:sz w:val="52"/>
      <w:szCs w:val="52"/>
    </w:rPr>
  </w:style>
  <w:style w:type="paragraph" w:styleId="DocumentMap">
    <w:name w:val="Document Map"/>
    <w:basedOn w:val="Normal"/>
    <w:link w:val="DocumentMapChar"/>
    <w:uiPriority w:val="99"/>
    <w:semiHidden/>
    <w:unhideWhenUsed/>
    <w:rsid w:val="00187AEC"/>
    <w:pPr>
      <w:spacing w:before="0" w:after="0"/>
    </w:pPr>
    <w:rPr>
      <w:rFonts w:ascii="Tahoma" w:hAnsi="Tahoma" w:cs="Tahoma"/>
      <w:sz w:val="16"/>
      <w:szCs w:val="16"/>
    </w:rPr>
  </w:style>
  <w:style w:type="character" w:customStyle="1" w:styleId="DocumentMapChar">
    <w:name w:val="Document Map Char"/>
    <w:link w:val="DocumentMap"/>
    <w:uiPriority w:val="99"/>
    <w:semiHidden/>
    <w:rsid w:val="00187AEC"/>
    <w:rPr>
      <w:rFonts w:ascii="Tahoma" w:hAnsi="Tahoma" w:cs="Tahoma"/>
      <w:sz w:val="16"/>
      <w:szCs w:val="16"/>
      <w:lang w:eastAsia="en-US"/>
    </w:rPr>
  </w:style>
  <w:style w:type="character" w:customStyle="1" w:styleId="number">
    <w:name w:val="number"/>
    <w:rsid w:val="00187AEC"/>
  </w:style>
  <w:style w:type="character" w:customStyle="1" w:styleId="slug-doi2">
    <w:name w:val="slug-doi2"/>
    <w:rsid w:val="00187AEC"/>
  </w:style>
  <w:style w:type="paragraph" w:customStyle="1" w:styleId="TableNotes">
    <w:name w:val="Table Notes"/>
    <w:basedOn w:val="Normal"/>
    <w:uiPriority w:val="99"/>
    <w:rsid w:val="00187AEC"/>
    <w:pPr>
      <w:spacing w:before="0"/>
    </w:pPr>
    <w:rPr>
      <w:szCs w:val="22"/>
      <w:lang w:val="en-GB"/>
    </w:rPr>
  </w:style>
  <w:style w:type="paragraph" w:customStyle="1" w:styleId="TableHeading">
    <w:name w:val="Table Heading"/>
    <w:basedOn w:val="Normal"/>
    <w:uiPriority w:val="99"/>
    <w:rsid w:val="00187AEC"/>
    <w:pPr>
      <w:spacing w:before="0"/>
    </w:pPr>
    <w:rPr>
      <w:b/>
      <w:szCs w:val="22"/>
      <w:lang w:val="en-GB"/>
    </w:rPr>
  </w:style>
  <w:style w:type="paragraph" w:styleId="Title">
    <w:name w:val="Title"/>
    <w:next w:val="Normal"/>
    <w:link w:val="TitleChar"/>
    <w:uiPriority w:val="10"/>
    <w:qFormat/>
    <w:rsid w:val="00E1532E"/>
    <w:pPr>
      <w:spacing w:after="3000"/>
      <w:jc w:val="center"/>
    </w:pPr>
    <w:rPr>
      <w:rFonts w:cs="Arial"/>
      <w:b/>
      <w:color w:val="FFFFFF"/>
      <w:sz w:val="48"/>
      <w:szCs w:val="48"/>
      <w:lang w:eastAsia="en-US"/>
    </w:rPr>
  </w:style>
  <w:style w:type="character" w:customStyle="1" w:styleId="TitleChar">
    <w:name w:val="Title Char"/>
    <w:link w:val="Title"/>
    <w:uiPriority w:val="10"/>
    <w:rsid w:val="00E1532E"/>
    <w:rPr>
      <w:rFonts w:cs="Arial"/>
      <w:b/>
      <w:color w:val="FFFFFF"/>
      <w:sz w:val="48"/>
      <w:szCs w:val="48"/>
      <w:lang w:eastAsia="en-US"/>
    </w:rPr>
  </w:style>
  <w:style w:type="paragraph" w:styleId="Subtitle">
    <w:name w:val="Subtitle"/>
    <w:basedOn w:val="Normal"/>
    <w:next w:val="Normal"/>
    <w:link w:val="SubtitleChar"/>
    <w:uiPriority w:val="11"/>
    <w:qFormat/>
    <w:rsid w:val="00375A41"/>
    <w:pPr>
      <w:spacing w:after="2800"/>
    </w:pPr>
    <w:rPr>
      <w:b/>
      <w:color w:val="C00000"/>
      <w:sz w:val="36"/>
      <w:szCs w:val="36"/>
    </w:rPr>
  </w:style>
  <w:style w:type="character" w:customStyle="1" w:styleId="SubtitleChar">
    <w:name w:val="Subtitle Char"/>
    <w:link w:val="Subtitle"/>
    <w:uiPriority w:val="11"/>
    <w:rsid w:val="00375A41"/>
    <w:rPr>
      <w:rFonts w:cs="Arial"/>
      <w:b/>
      <w:color w:val="C00000"/>
      <w:sz w:val="36"/>
      <w:szCs w:val="36"/>
      <w:lang w:eastAsia="en-US"/>
    </w:rPr>
  </w:style>
  <w:style w:type="paragraph" w:styleId="Quote">
    <w:name w:val="Quote"/>
    <w:basedOn w:val="Normal"/>
    <w:next w:val="Normal"/>
    <w:link w:val="QuoteChar"/>
    <w:uiPriority w:val="29"/>
    <w:rsid w:val="00187AEC"/>
    <w:pPr>
      <w:spacing w:before="0"/>
    </w:pPr>
    <w:rPr>
      <w:i/>
      <w:szCs w:val="22"/>
      <w:lang w:val="en-GB" w:eastAsia="en-AU"/>
    </w:rPr>
  </w:style>
  <w:style w:type="character" w:customStyle="1" w:styleId="QuoteChar">
    <w:name w:val="Quote Char"/>
    <w:link w:val="Quote"/>
    <w:uiPriority w:val="29"/>
    <w:rsid w:val="00187AEC"/>
    <w:rPr>
      <w:rFonts w:ascii="Arial" w:hAnsi="Arial" w:cs="Arial"/>
      <w:i/>
      <w:szCs w:val="22"/>
      <w:lang w:val="en-GB"/>
    </w:rPr>
  </w:style>
  <w:style w:type="paragraph" w:styleId="IntenseQuote">
    <w:name w:val="Intense Quote"/>
    <w:basedOn w:val="Normal"/>
    <w:next w:val="Normal"/>
    <w:link w:val="IntenseQuoteChar"/>
    <w:uiPriority w:val="99"/>
    <w:qFormat/>
    <w:rsid w:val="00187AEC"/>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szCs w:val="22"/>
      <w:lang w:val="en-GB" w:eastAsia="en-AU"/>
    </w:rPr>
  </w:style>
  <w:style w:type="character" w:customStyle="1" w:styleId="IntenseQuoteChar">
    <w:name w:val="Intense Quote Char"/>
    <w:link w:val="IntenseQuote"/>
    <w:uiPriority w:val="99"/>
    <w:rsid w:val="00187AEC"/>
    <w:rPr>
      <w:rFonts w:ascii="Arial" w:hAnsi="Arial" w:cs="Arial"/>
      <w:b/>
      <w:i/>
      <w:color w:val="FFFFFF"/>
      <w:szCs w:val="22"/>
      <w:shd w:val="clear" w:color="auto" w:fill="C0504D"/>
      <w:lang w:val="en-GB"/>
    </w:rPr>
  </w:style>
  <w:style w:type="character" w:styleId="IntenseEmphasis">
    <w:name w:val="Intense Emphasis"/>
    <w:uiPriority w:val="21"/>
    <w:qFormat/>
    <w:rsid w:val="00187AEC"/>
    <w:rPr>
      <w:rFonts w:cs="Times New Roman"/>
      <w:b/>
      <w:i/>
      <w:color w:val="C0504D"/>
      <w:spacing w:val="10"/>
    </w:rPr>
  </w:style>
  <w:style w:type="character" w:styleId="SubtleReference">
    <w:name w:val="Subtle Reference"/>
    <w:uiPriority w:val="99"/>
    <w:qFormat/>
    <w:rsid w:val="00187AEC"/>
    <w:rPr>
      <w:rFonts w:cs="Times New Roman"/>
      <w:b/>
    </w:rPr>
  </w:style>
  <w:style w:type="character" w:styleId="IntenseReference">
    <w:name w:val="Intense Reference"/>
    <w:uiPriority w:val="99"/>
    <w:qFormat/>
    <w:rsid w:val="00187AEC"/>
    <w:rPr>
      <w:rFonts w:cs="Times New Roman"/>
      <w:b/>
      <w:smallCaps/>
      <w:spacing w:val="5"/>
      <w:sz w:val="22"/>
      <w:u w:val="single"/>
    </w:rPr>
  </w:style>
  <w:style w:type="character" w:styleId="BookTitle">
    <w:name w:val="Book Title"/>
    <w:uiPriority w:val="99"/>
    <w:rsid w:val="00187AEC"/>
    <w:rPr>
      <w:rFonts w:ascii="Cambria" w:hAnsi="Cambria" w:cs="Times New Roman"/>
      <w:i/>
      <w:sz w:val="20"/>
    </w:rPr>
  </w:style>
  <w:style w:type="paragraph" w:customStyle="1" w:styleId="TableNotes0">
    <w:name w:val="TableNotes+0"/>
    <w:basedOn w:val="Normal"/>
    <w:uiPriority w:val="99"/>
    <w:rsid w:val="00187AEC"/>
    <w:pPr>
      <w:keepNext/>
      <w:keepLines/>
      <w:spacing w:before="0"/>
    </w:pPr>
    <w:rPr>
      <w:rFonts w:cs="Calibri"/>
      <w:szCs w:val="18"/>
      <w:lang w:val="en-GB"/>
    </w:rPr>
  </w:style>
  <w:style w:type="table" w:customStyle="1" w:styleId="LightShading1">
    <w:name w:val="Light Shading1"/>
    <w:aliases w:val="Report table"/>
    <w:basedOn w:val="TableNormal"/>
    <w:uiPriority w:val="99"/>
    <w:rsid w:val="00187AEC"/>
    <w:rPr>
      <w:rFonts w:ascii="Calibri" w:hAnsi="Calibri"/>
      <w:color w:val="000000"/>
    </w:rPr>
    <w:tblPr>
      <w:tblStyleRowBandSize w:val="1"/>
      <w:tblStyleColBandSize w:val="1"/>
      <w:tblBorders>
        <w:top w:val="single" w:sz="8" w:space="0" w:color="000000"/>
        <w:bottom w:val="single" w:sz="8" w:space="0" w:color="000000"/>
      </w:tblBorders>
    </w:tblPr>
    <w:trPr>
      <w:cantSplit/>
    </w:trPr>
    <w:tblStylePr w:type="firstRow">
      <w:pPr>
        <w:spacing w:before="0" w:after="0"/>
      </w:pPr>
      <w:rPr>
        <w:rFonts w:ascii="Calibri" w:hAnsi="Calibri" w:cs="Times New Roman"/>
        <w:b/>
        <w:bCs/>
        <w:sz w:val="20"/>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Notes">
    <w:name w:val="Notes"/>
    <w:basedOn w:val="Normal"/>
    <w:link w:val="NotesChar"/>
    <w:uiPriority w:val="99"/>
    <w:rsid w:val="00187AEC"/>
    <w:pPr>
      <w:spacing w:before="0"/>
    </w:pPr>
    <w:rPr>
      <w:sz w:val="16"/>
      <w:szCs w:val="16"/>
      <w:lang w:val="en-GB"/>
    </w:rPr>
  </w:style>
  <w:style w:type="character" w:customStyle="1" w:styleId="NotesChar">
    <w:name w:val="Notes Char"/>
    <w:link w:val="Notes"/>
    <w:uiPriority w:val="99"/>
    <w:locked/>
    <w:rsid w:val="00187AEC"/>
    <w:rPr>
      <w:rFonts w:ascii="Arial" w:hAnsi="Arial" w:cs="Arial"/>
      <w:sz w:val="16"/>
      <w:szCs w:val="16"/>
      <w:lang w:val="en-GB" w:eastAsia="en-US"/>
    </w:rPr>
  </w:style>
  <w:style w:type="paragraph" w:customStyle="1" w:styleId="Tabletext">
    <w:name w:val="Table text"/>
    <w:basedOn w:val="Normal"/>
    <w:link w:val="TabletextChar"/>
    <w:uiPriority w:val="99"/>
    <w:rsid w:val="00187AEC"/>
    <w:pPr>
      <w:spacing w:before="0"/>
    </w:pPr>
    <w:rPr>
      <w:rFonts w:ascii="Microsoft Sans Serif" w:hAnsi="Microsoft Sans Serif" w:cs="Microsoft Sans Serif"/>
      <w:szCs w:val="20"/>
      <w:lang w:val="en-GB"/>
    </w:rPr>
  </w:style>
  <w:style w:type="character" w:customStyle="1" w:styleId="TabletextChar">
    <w:name w:val="Table text Char"/>
    <w:link w:val="Tabletext"/>
    <w:uiPriority w:val="99"/>
    <w:locked/>
    <w:rsid w:val="00187AEC"/>
    <w:rPr>
      <w:rFonts w:ascii="Microsoft Sans Serif" w:hAnsi="Microsoft Sans Serif" w:cs="Microsoft Sans Serif"/>
      <w:lang w:val="en-GB" w:eastAsia="en-US"/>
    </w:rPr>
  </w:style>
  <w:style w:type="paragraph" w:styleId="BodyTextIndent">
    <w:name w:val="Body Text Indent"/>
    <w:basedOn w:val="Normal"/>
    <w:link w:val="BodyTextIndentChar"/>
    <w:uiPriority w:val="99"/>
    <w:rsid w:val="00187AEC"/>
    <w:pPr>
      <w:spacing w:before="0"/>
    </w:pPr>
    <w:rPr>
      <w:rFonts w:ascii="Times" w:hAnsi="Times"/>
      <w:szCs w:val="20"/>
      <w:lang w:val="en-US"/>
    </w:rPr>
  </w:style>
  <w:style w:type="character" w:customStyle="1" w:styleId="BodyTextIndentChar">
    <w:name w:val="Body Text Indent Char"/>
    <w:link w:val="BodyTextIndent"/>
    <w:uiPriority w:val="99"/>
    <w:rsid w:val="00187AEC"/>
    <w:rPr>
      <w:rFonts w:ascii="Times" w:hAnsi="Times" w:cs="Arial"/>
      <w:lang w:val="en-US" w:eastAsia="en-US"/>
    </w:rPr>
  </w:style>
  <w:style w:type="paragraph" w:customStyle="1" w:styleId="Tablenotes1">
    <w:name w:val="Table notes"/>
    <w:basedOn w:val="Notes"/>
    <w:link w:val="TablenotesChar"/>
    <w:rsid w:val="00187AEC"/>
    <w:rPr>
      <w:sz w:val="20"/>
      <w:szCs w:val="20"/>
    </w:rPr>
  </w:style>
  <w:style w:type="character" w:customStyle="1" w:styleId="TablenotesChar">
    <w:name w:val="Table notes Char"/>
    <w:link w:val="Tablenotes1"/>
    <w:rsid w:val="00187AEC"/>
    <w:rPr>
      <w:rFonts w:ascii="Arial" w:hAnsi="Arial" w:cs="Arial"/>
      <w:lang w:val="en-GB" w:eastAsia="en-US"/>
    </w:rPr>
  </w:style>
  <w:style w:type="paragraph" w:customStyle="1" w:styleId="TableNumbers">
    <w:name w:val="Table Numbers"/>
    <w:basedOn w:val="Normal"/>
    <w:rsid w:val="00187AEC"/>
    <w:pPr>
      <w:spacing w:before="0"/>
      <w:jc w:val="center"/>
    </w:pPr>
    <w:rPr>
      <w:rFonts w:cs="Times New Roman"/>
      <w:szCs w:val="22"/>
      <w:lang w:val="en-GB" w:eastAsia="en-AU"/>
    </w:rPr>
  </w:style>
  <w:style w:type="paragraph" w:customStyle="1" w:styleId="tabletext0">
    <w:name w:val="table text"/>
    <w:basedOn w:val="TableNumbers"/>
    <w:qFormat/>
    <w:rsid w:val="00187AEC"/>
    <w:pPr>
      <w:keepNext/>
      <w:jc w:val="left"/>
    </w:pPr>
    <w:rPr>
      <w:rFonts w:cs="Arial"/>
      <w:color w:val="000000"/>
      <w:szCs w:val="20"/>
    </w:rPr>
  </w:style>
  <w:style w:type="paragraph" w:customStyle="1" w:styleId="tablenotes2">
    <w:name w:val="table notes"/>
    <w:basedOn w:val="BodyText2"/>
    <w:qFormat/>
    <w:rsid w:val="00187AEC"/>
    <w:pPr>
      <w:widowControl w:val="0"/>
      <w:spacing w:after="0" w:line="240" w:lineRule="auto"/>
    </w:pPr>
    <w:rPr>
      <w:rFonts w:cs="Times New Roman"/>
      <w:snapToGrid w:val="0"/>
      <w:szCs w:val="20"/>
    </w:rPr>
  </w:style>
  <w:style w:type="paragraph" w:styleId="BodyText2">
    <w:name w:val="Body Text 2"/>
    <w:basedOn w:val="Normal"/>
    <w:link w:val="BodyText2Char"/>
    <w:uiPriority w:val="99"/>
    <w:semiHidden/>
    <w:unhideWhenUsed/>
    <w:rsid w:val="00187AEC"/>
    <w:pPr>
      <w:spacing w:before="0" w:line="480" w:lineRule="auto"/>
    </w:pPr>
    <w:rPr>
      <w:szCs w:val="22"/>
      <w:lang w:val="en-GB"/>
    </w:rPr>
  </w:style>
  <w:style w:type="character" w:customStyle="1" w:styleId="BodyText2Char">
    <w:name w:val="Body Text 2 Char"/>
    <w:link w:val="BodyText2"/>
    <w:uiPriority w:val="99"/>
    <w:semiHidden/>
    <w:rsid w:val="00187AEC"/>
    <w:rPr>
      <w:rFonts w:ascii="Arial" w:hAnsi="Arial" w:cs="Arial"/>
      <w:szCs w:val="22"/>
      <w:lang w:val="en-GB" w:eastAsia="en-US"/>
    </w:rPr>
  </w:style>
  <w:style w:type="character" w:customStyle="1" w:styleId="il">
    <w:name w:val="il"/>
    <w:rsid w:val="00187AEC"/>
  </w:style>
  <w:style w:type="paragraph" w:styleId="TOC4">
    <w:name w:val="toc 4"/>
    <w:basedOn w:val="Normal"/>
    <w:next w:val="Normal"/>
    <w:autoRedefine/>
    <w:uiPriority w:val="39"/>
    <w:unhideWhenUsed/>
    <w:rsid w:val="00FF45AB"/>
    <w:pPr>
      <w:tabs>
        <w:tab w:val="clear" w:pos="357"/>
      </w:tabs>
      <w:spacing w:before="0" w:after="0"/>
      <w:ind w:left="720"/>
    </w:pPr>
    <w:rPr>
      <w:rFonts w:asciiTheme="minorHAnsi" w:hAnsiTheme="minorHAnsi"/>
      <w:sz w:val="18"/>
      <w:szCs w:val="18"/>
    </w:rPr>
  </w:style>
  <w:style w:type="paragraph" w:styleId="TOC5">
    <w:name w:val="toc 5"/>
    <w:basedOn w:val="Normal"/>
    <w:next w:val="Normal"/>
    <w:autoRedefine/>
    <w:uiPriority w:val="39"/>
    <w:unhideWhenUsed/>
    <w:rsid w:val="00FF45AB"/>
    <w:pPr>
      <w:tabs>
        <w:tab w:val="clear" w:pos="357"/>
      </w:tabs>
      <w:spacing w:before="0" w:after="0"/>
      <w:ind w:left="960"/>
    </w:pPr>
    <w:rPr>
      <w:rFonts w:asciiTheme="minorHAnsi" w:hAnsiTheme="minorHAnsi"/>
      <w:sz w:val="18"/>
      <w:szCs w:val="18"/>
    </w:rPr>
  </w:style>
  <w:style w:type="paragraph" w:styleId="TOC6">
    <w:name w:val="toc 6"/>
    <w:basedOn w:val="Normal"/>
    <w:next w:val="Normal"/>
    <w:autoRedefine/>
    <w:uiPriority w:val="39"/>
    <w:unhideWhenUsed/>
    <w:rsid w:val="00FF45AB"/>
    <w:pPr>
      <w:tabs>
        <w:tab w:val="clear" w:pos="357"/>
      </w:tabs>
      <w:spacing w:before="0" w:after="0"/>
      <w:ind w:left="1200"/>
    </w:pPr>
    <w:rPr>
      <w:rFonts w:asciiTheme="minorHAnsi" w:hAnsiTheme="minorHAnsi"/>
      <w:sz w:val="18"/>
      <w:szCs w:val="18"/>
    </w:rPr>
  </w:style>
  <w:style w:type="paragraph" w:styleId="TOC7">
    <w:name w:val="toc 7"/>
    <w:basedOn w:val="Normal"/>
    <w:next w:val="Normal"/>
    <w:autoRedefine/>
    <w:uiPriority w:val="39"/>
    <w:unhideWhenUsed/>
    <w:rsid w:val="00FF45AB"/>
    <w:pPr>
      <w:tabs>
        <w:tab w:val="clear" w:pos="357"/>
      </w:tabs>
      <w:spacing w:before="0" w:after="0"/>
      <w:ind w:left="1440"/>
    </w:pPr>
    <w:rPr>
      <w:rFonts w:asciiTheme="minorHAnsi" w:hAnsiTheme="minorHAnsi"/>
      <w:sz w:val="18"/>
      <w:szCs w:val="18"/>
    </w:rPr>
  </w:style>
  <w:style w:type="paragraph" w:styleId="TOC8">
    <w:name w:val="toc 8"/>
    <w:basedOn w:val="Normal"/>
    <w:next w:val="Normal"/>
    <w:autoRedefine/>
    <w:uiPriority w:val="39"/>
    <w:unhideWhenUsed/>
    <w:rsid w:val="00FF45AB"/>
    <w:pPr>
      <w:tabs>
        <w:tab w:val="clear" w:pos="357"/>
      </w:tabs>
      <w:spacing w:before="0" w:after="0"/>
      <w:ind w:left="1680"/>
    </w:pPr>
    <w:rPr>
      <w:rFonts w:asciiTheme="minorHAnsi" w:hAnsiTheme="minorHAnsi"/>
      <w:sz w:val="18"/>
      <w:szCs w:val="18"/>
    </w:rPr>
  </w:style>
  <w:style w:type="paragraph" w:styleId="TOC9">
    <w:name w:val="toc 9"/>
    <w:basedOn w:val="Normal"/>
    <w:next w:val="Normal"/>
    <w:autoRedefine/>
    <w:uiPriority w:val="39"/>
    <w:unhideWhenUsed/>
    <w:rsid w:val="00FF45AB"/>
    <w:pPr>
      <w:tabs>
        <w:tab w:val="clear" w:pos="357"/>
      </w:tabs>
      <w:spacing w:before="0" w:after="0"/>
      <w:ind w:left="1920"/>
    </w:pPr>
    <w:rPr>
      <w:rFonts w:asciiTheme="minorHAnsi" w:hAnsiTheme="minorHAnsi"/>
      <w:sz w:val="18"/>
      <w:szCs w:val="18"/>
    </w:rPr>
  </w:style>
  <w:style w:type="character" w:customStyle="1" w:styleId="normalchar">
    <w:name w:val="normal_char"/>
    <w:rsid w:val="00D62794"/>
    <w:rPr>
      <w:color w:val="auto"/>
    </w:rPr>
  </w:style>
  <w:style w:type="paragraph" w:customStyle="1" w:styleId="paragraphsub">
    <w:name w:val="paragraph(sub)"/>
    <w:aliases w:val="aa"/>
    <w:basedOn w:val="Normal"/>
    <w:uiPriority w:val="99"/>
    <w:rsid w:val="00255904"/>
    <w:pPr>
      <w:tabs>
        <w:tab w:val="clear" w:pos="357"/>
        <w:tab w:val="right" w:pos="1985"/>
      </w:tabs>
      <w:spacing w:before="40" w:after="0"/>
      <w:ind w:left="2098" w:hanging="2098"/>
    </w:pPr>
    <w:rPr>
      <w:rFonts w:cs="Times New Roman"/>
      <w:sz w:val="22"/>
      <w:szCs w:val="20"/>
      <w:lang w:eastAsia="en-AU"/>
    </w:rPr>
  </w:style>
  <w:style w:type="paragraph" w:customStyle="1" w:styleId="paragraph">
    <w:name w:val="paragraph"/>
    <w:aliases w:val="a"/>
    <w:basedOn w:val="Normal"/>
    <w:link w:val="paragraphChar"/>
    <w:rsid w:val="00255904"/>
    <w:pPr>
      <w:tabs>
        <w:tab w:val="clear" w:pos="357"/>
        <w:tab w:val="right" w:pos="1531"/>
      </w:tabs>
      <w:spacing w:before="40" w:after="0"/>
      <w:ind w:left="1644" w:hanging="1644"/>
    </w:pPr>
    <w:rPr>
      <w:rFonts w:cs="Times New Roman"/>
      <w:sz w:val="22"/>
      <w:szCs w:val="20"/>
      <w:lang w:eastAsia="en-AU"/>
    </w:rPr>
  </w:style>
  <w:style w:type="character" w:customStyle="1" w:styleId="paragraphChar">
    <w:name w:val="paragraph Char"/>
    <w:aliases w:val="a Char"/>
    <w:link w:val="paragraph"/>
    <w:rsid w:val="00255904"/>
    <w:rPr>
      <w:sz w:val="22"/>
    </w:rPr>
  </w:style>
  <w:style w:type="paragraph" w:customStyle="1" w:styleId="Apples-Footnote">
    <w:name w:val="Apples - Footnote"/>
    <w:basedOn w:val="FootnoteText"/>
    <w:link w:val="Apples-FootnoteChar"/>
    <w:rsid w:val="00A60A84"/>
    <w:pPr>
      <w:keepLines/>
      <w:tabs>
        <w:tab w:val="clear" w:pos="357"/>
      </w:tabs>
      <w:spacing w:before="0" w:after="60"/>
      <w:ind w:left="0" w:firstLine="720"/>
      <w:jc w:val="both"/>
    </w:pPr>
    <w:rPr>
      <w:rFonts w:cs="Times New Roman"/>
      <w:sz w:val="20"/>
      <w:lang w:eastAsia="en-AU"/>
    </w:rPr>
  </w:style>
  <w:style w:type="character" w:customStyle="1" w:styleId="Apples-FootnoteChar">
    <w:name w:val="Apples - Footnote Char"/>
    <w:link w:val="Apples-Footnote"/>
    <w:rsid w:val="00A60A84"/>
  </w:style>
  <w:style w:type="paragraph" w:customStyle="1" w:styleId="CharChar6CharCharCharCharCharChar">
    <w:name w:val="Char Char6 Char Char Char Char Char Char"/>
    <w:aliases w:val="Char6 Char Char Char Char Char Char Char"/>
    <w:basedOn w:val="Normal"/>
    <w:link w:val="FootnoteReference"/>
    <w:uiPriority w:val="31"/>
    <w:rsid w:val="00A60A84"/>
    <w:pPr>
      <w:tabs>
        <w:tab w:val="clear" w:pos="357"/>
      </w:tabs>
      <w:spacing w:before="0" w:after="0" w:line="360" w:lineRule="auto"/>
      <w:jc w:val="center"/>
    </w:pPr>
    <w:rPr>
      <w:rFonts w:cs="Times New Roman"/>
      <w:sz w:val="20"/>
      <w:szCs w:val="20"/>
      <w:vertAlign w:val="superscript"/>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31"/>
    <w:lsdException w:name="Title" w:semiHidden="0" w:uiPriority="10" w:unhideWhenUsed="0" w:qFormat="1"/>
    <w:lsdException w:name="Default Paragraph Font" w:uiPriority="1"/>
    <w:lsdException w:name="Message Header" w:uiPriority="0"/>
    <w:lsdException w:name="Subtitle" w:semiHidden="0" w:uiPriority="11" w:unhideWhenUsed="0" w:qFormat="1"/>
    <w:lsdException w:name="Note Heading" w:uiPriority="0"/>
    <w:lsdException w:name="Body Text Indent 2" w:uiPriority="0"/>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nhideWhenUsed="0" w:qFormat="1"/>
    <w:lsdException w:name="Book Title" w:semiHidden="0" w:unhideWhenUsed="0"/>
    <w:lsdException w:name="Bibliography" w:uiPriority="37"/>
    <w:lsdException w:name="TOC Heading" w:uiPriority="39" w:qFormat="1"/>
  </w:latentStyles>
  <w:style w:type="paragraph" w:default="1" w:styleId="Normal">
    <w:name w:val="Normal"/>
    <w:qFormat/>
    <w:rsid w:val="00EC02D0"/>
    <w:pPr>
      <w:tabs>
        <w:tab w:val="left" w:pos="357"/>
      </w:tabs>
      <w:spacing w:before="120" w:after="120"/>
    </w:pPr>
    <w:rPr>
      <w:rFonts w:cs="Arial"/>
      <w:sz w:val="24"/>
      <w:szCs w:val="24"/>
      <w:lang w:eastAsia="en-US"/>
    </w:rPr>
  </w:style>
  <w:style w:type="paragraph" w:styleId="Heading1">
    <w:name w:val="heading 1"/>
    <w:basedOn w:val="Normal"/>
    <w:next w:val="Normal"/>
    <w:link w:val="Heading1Char"/>
    <w:uiPriority w:val="99"/>
    <w:qFormat/>
    <w:rsid w:val="00A77CE2"/>
    <w:pPr>
      <w:keepNext/>
      <w:outlineLvl w:val="0"/>
    </w:pPr>
    <w:rPr>
      <w:rFonts w:cs="Times New Roman"/>
      <w:b/>
      <w:bCs/>
      <w:kern w:val="32"/>
      <w:sz w:val="36"/>
      <w:szCs w:val="32"/>
    </w:rPr>
  </w:style>
  <w:style w:type="paragraph" w:styleId="Heading2">
    <w:name w:val="heading 2"/>
    <w:basedOn w:val="Normal"/>
    <w:next w:val="Normal"/>
    <w:link w:val="Heading2Char"/>
    <w:uiPriority w:val="99"/>
    <w:unhideWhenUsed/>
    <w:qFormat/>
    <w:rsid w:val="00A77CE2"/>
    <w:pPr>
      <w:keepNext/>
      <w:outlineLvl w:val="1"/>
    </w:pPr>
    <w:rPr>
      <w:rFonts w:cs="Times New Roman"/>
      <w:bCs/>
      <w:iCs/>
      <w:sz w:val="32"/>
      <w:szCs w:val="28"/>
      <w:u w:val="single"/>
    </w:rPr>
  </w:style>
  <w:style w:type="paragraph" w:styleId="Heading3">
    <w:name w:val="heading 3"/>
    <w:basedOn w:val="Normal"/>
    <w:next w:val="Normal"/>
    <w:link w:val="Heading3Char"/>
    <w:uiPriority w:val="99"/>
    <w:unhideWhenUsed/>
    <w:qFormat/>
    <w:rsid w:val="00A77CE2"/>
    <w:pPr>
      <w:keepNext/>
      <w:outlineLvl w:val="2"/>
    </w:pPr>
    <w:rPr>
      <w:rFonts w:cs="Times New Roman"/>
      <w:bCs/>
      <w:sz w:val="28"/>
      <w:szCs w:val="26"/>
      <w:u w:val="single"/>
    </w:rPr>
  </w:style>
  <w:style w:type="paragraph" w:styleId="Heading4">
    <w:name w:val="heading 4"/>
    <w:basedOn w:val="Normal"/>
    <w:next w:val="Normal"/>
    <w:link w:val="Heading4Char"/>
    <w:uiPriority w:val="99"/>
    <w:unhideWhenUsed/>
    <w:qFormat/>
    <w:rsid w:val="00A77CE2"/>
    <w:pPr>
      <w:keepNext/>
      <w:outlineLvl w:val="3"/>
    </w:pPr>
    <w:rPr>
      <w:rFonts w:cs="Times New Roman"/>
      <w:bCs/>
      <w:sz w:val="26"/>
      <w:szCs w:val="28"/>
      <w:u w:val="single"/>
    </w:rPr>
  </w:style>
  <w:style w:type="paragraph" w:styleId="Heading5">
    <w:name w:val="heading 5"/>
    <w:basedOn w:val="Normal"/>
    <w:next w:val="Normal"/>
    <w:link w:val="Heading5Char"/>
    <w:uiPriority w:val="99"/>
    <w:unhideWhenUsed/>
    <w:qFormat/>
    <w:rsid w:val="00A77CE2"/>
    <w:pPr>
      <w:keepNext/>
      <w:outlineLvl w:val="4"/>
    </w:pPr>
    <w:rPr>
      <w:rFonts w:cs="Times New Roman"/>
      <w:bCs/>
      <w:iCs/>
      <w:szCs w:val="26"/>
      <w:u w:val="single"/>
    </w:rPr>
  </w:style>
  <w:style w:type="paragraph" w:styleId="Heading6">
    <w:name w:val="heading 6"/>
    <w:basedOn w:val="Normal"/>
    <w:next w:val="Normal"/>
    <w:link w:val="Heading6Char"/>
    <w:uiPriority w:val="99"/>
    <w:qFormat/>
    <w:rsid w:val="00187AEC"/>
    <w:pPr>
      <w:spacing w:before="0"/>
      <w:outlineLvl w:val="5"/>
    </w:pPr>
    <w:rPr>
      <w:smallCaps/>
      <w:color w:val="C0504D"/>
      <w:spacing w:val="5"/>
      <w:szCs w:val="22"/>
      <w:lang w:val="en-GB" w:eastAsia="en-AU"/>
    </w:rPr>
  </w:style>
  <w:style w:type="paragraph" w:styleId="Heading7">
    <w:name w:val="heading 7"/>
    <w:basedOn w:val="Normal"/>
    <w:next w:val="Normal"/>
    <w:link w:val="Heading7Char"/>
    <w:uiPriority w:val="99"/>
    <w:qFormat/>
    <w:rsid w:val="00187AEC"/>
    <w:pPr>
      <w:spacing w:before="0"/>
      <w:outlineLvl w:val="6"/>
    </w:pPr>
    <w:rPr>
      <w:b/>
      <w:smallCaps/>
      <w:color w:val="C0504D"/>
      <w:spacing w:val="10"/>
      <w:szCs w:val="22"/>
      <w:lang w:val="en-GB" w:eastAsia="en-AU"/>
    </w:rPr>
  </w:style>
  <w:style w:type="paragraph" w:styleId="Heading8">
    <w:name w:val="heading 8"/>
    <w:basedOn w:val="Normal"/>
    <w:next w:val="Normal"/>
    <w:link w:val="Heading8Char"/>
    <w:uiPriority w:val="99"/>
    <w:qFormat/>
    <w:rsid w:val="00187AEC"/>
    <w:pPr>
      <w:spacing w:before="0"/>
      <w:outlineLvl w:val="7"/>
    </w:pPr>
    <w:rPr>
      <w:b/>
      <w:i/>
      <w:smallCaps/>
      <w:color w:val="943634"/>
      <w:szCs w:val="22"/>
      <w:lang w:val="en-GB" w:eastAsia="en-AU"/>
    </w:rPr>
  </w:style>
  <w:style w:type="paragraph" w:styleId="Heading9">
    <w:name w:val="heading 9"/>
    <w:basedOn w:val="Normal"/>
    <w:next w:val="Normal"/>
    <w:link w:val="Heading9Char"/>
    <w:uiPriority w:val="99"/>
    <w:qFormat/>
    <w:rsid w:val="00187AEC"/>
    <w:pPr>
      <w:spacing w:before="0"/>
      <w:outlineLvl w:val="8"/>
    </w:pPr>
    <w:rPr>
      <w:b/>
      <w:i/>
      <w:smallCaps/>
      <w:color w:val="622423"/>
      <w:szCs w:val="22"/>
      <w:lang w:val="en-GB"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A77CE2"/>
    <w:rPr>
      <w:b/>
      <w:bCs/>
      <w:kern w:val="32"/>
      <w:sz w:val="36"/>
      <w:szCs w:val="32"/>
      <w:lang w:eastAsia="en-US"/>
    </w:rPr>
  </w:style>
  <w:style w:type="character" w:customStyle="1" w:styleId="Heading2Char">
    <w:name w:val="Heading 2 Char"/>
    <w:link w:val="Heading2"/>
    <w:uiPriority w:val="99"/>
    <w:rsid w:val="00A77CE2"/>
    <w:rPr>
      <w:bCs/>
      <w:iCs/>
      <w:sz w:val="32"/>
      <w:szCs w:val="28"/>
      <w:u w:val="single"/>
      <w:lang w:eastAsia="en-US"/>
    </w:rPr>
  </w:style>
  <w:style w:type="character" w:customStyle="1" w:styleId="Heading3Char">
    <w:name w:val="Heading 3 Char"/>
    <w:link w:val="Heading3"/>
    <w:uiPriority w:val="99"/>
    <w:rsid w:val="00A77CE2"/>
    <w:rPr>
      <w:bCs/>
      <w:sz w:val="28"/>
      <w:szCs w:val="26"/>
      <w:u w:val="single"/>
      <w:lang w:eastAsia="en-US"/>
    </w:rPr>
  </w:style>
  <w:style w:type="character" w:customStyle="1" w:styleId="Heading4Char">
    <w:name w:val="Heading 4 Char"/>
    <w:link w:val="Heading4"/>
    <w:uiPriority w:val="99"/>
    <w:rsid w:val="00A77CE2"/>
    <w:rPr>
      <w:bCs/>
      <w:sz w:val="26"/>
      <w:szCs w:val="28"/>
      <w:u w:val="single"/>
      <w:lang w:eastAsia="en-US"/>
    </w:rPr>
  </w:style>
  <w:style w:type="character" w:customStyle="1" w:styleId="Heading5Char">
    <w:name w:val="Heading 5 Char"/>
    <w:link w:val="Heading5"/>
    <w:uiPriority w:val="99"/>
    <w:rsid w:val="00A77CE2"/>
    <w:rPr>
      <w:bCs/>
      <w:iCs/>
      <w:sz w:val="24"/>
      <w:szCs w:val="26"/>
      <w:u w:val="single"/>
      <w:lang w:eastAsia="en-US"/>
    </w:rPr>
  </w:style>
  <w:style w:type="character" w:customStyle="1" w:styleId="Heading6Char">
    <w:name w:val="Heading 6 Char"/>
    <w:link w:val="Heading6"/>
    <w:uiPriority w:val="99"/>
    <w:rsid w:val="00187AEC"/>
    <w:rPr>
      <w:rFonts w:ascii="Arial" w:hAnsi="Arial" w:cs="Arial"/>
      <w:smallCaps/>
      <w:color w:val="C0504D"/>
      <w:spacing w:val="5"/>
      <w:szCs w:val="22"/>
      <w:lang w:val="en-GB"/>
    </w:rPr>
  </w:style>
  <w:style w:type="character" w:customStyle="1" w:styleId="Heading7Char">
    <w:name w:val="Heading 7 Char"/>
    <w:link w:val="Heading7"/>
    <w:uiPriority w:val="99"/>
    <w:rsid w:val="00187AEC"/>
    <w:rPr>
      <w:rFonts w:ascii="Arial" w:hAnsi="Arial" w:cs="Arial"/>
      <w:b/>
      <w:smallCaps/>
      <w:color w:val="C0504D"/>
      <w:spacing w:val="10"/>
      <w:szCs w:val="22"/>
      <w:lang w:val="en-GB"/>
    </w:rPr>
  </w:style>
  <w:style w:type="character" w:customStyle="1" w:styleId="Heading8Char">
    <w:name w:val="Heading 8 Char"/>
    <w:link w:val="Heading8"/>
    <w:uiPriority w:val="99"/>
    <w:rsid w:val="00187AEC"/>
    <w:rPr>
      <w:rFonts w:ascii="Arial" w:hAnsi="Arial" w:cs="Arial"/>
      <w:b/>
      <w:i/>
      <w:smallCaps/>
      <w:color w:val="943634"/>
      <w:szCs w:val="22"/>
      <w:lang w:val="en-GB"/>
    </w:rPr>
  </w:style>
  <w:style w:type="character" w:customStyle="1" w:styleId="Heading9Char">
    <w:name w:val="Heading 9 Char"/>
    <w:link w:val="Heading9"/>
    <w:uiPriority w:val="99"/>
    <w:rsid w:val="00187AEC"/>
    <w:rPr>
      <w:rFonts w:ascii="Arial" w:hAnsi="Arial" w:cs="Arial"/>
      <w:b/>
      <w:i/>
      <w:smallCaps/>
      <w:color w:val="622423"/>
      <w:szCs w:val="22"/>
      <w:lang w:val="en-GB"/>
    </w:rPr>
  </w:style>
  <w:style w:type="paragraph" w:styleId="FootnoteText">
    <w:name w:val="footnote text"/>
    <w:aliases w:val="single space Char,single space,FOOTNOTES,fn,ADB,WB-Fußnotentext,Fußnote,WB-Fuﬂnotentext,Fuﬂnote,Car,Note de bas de page2,Note de basFootnote text,(NECG) Footnote Text"/>
    <w:basedOn w:val="Normal"/>
    <w:link w:val="FootnoteTextChar"/>
    <w:uiPriority w:val="99"/>
    <w:unhideWhenUsed/>
    <w:qFormat/>
    <w:rsid w:val="00C53110"/>
    <w:pPr>
      <w:spacing w:before="60" w:after="0"/>
      <w:ind w:left="113" w:hanging="113"/>
    </w:pPr>
    <w:rPr>
      <w:sz w:val="18"/>
      <w:szCs w:val="20"/>
    </w:rPr>
  </w:style>
  <w:style w:type="character" w:customStyle="1" w:styleId="FootnoteTextChar">
    <w:name w:val="Footnote Text Char"/>
    <w:aliases w:val="single space Char Char,single space Char1,FOOTNOTES Char,fn Char,ADB Char,WB-Fußnotentext Char,Fußnote Char,WB-Fuﬂnotentext Char,Fuﬂnote Char,Car Char,Note de bas de page2 Char,Note de basFootnote text Char,(NECG) Footnote Text Char"/>
    <w:link w:val="FootnoteText"/>
    <w:uiPriority w:val="99"/>
    <w:rsid w:val="00C53110"/>
    <w:rPr>
      <w:rFonts w:cs="Arial"/>
      <w:sz w:val="18"/>
      <w:lang w:eastAsia="en-US"/>
    </w:rPr>
  </w:style>
  <w:style w:type="paragraph" w:customStyle="1" w:styleId="Quotation">
    <w:name w:val="Quotation"/>
    <w:basedOn w:val="Normal"/>
    <w:qFormat/>
    <w:rsid w:val="00F64BC1"/>
    <w:pPr>
      <w:tabs>
        <w:tab w:val="left" w:pos="3553"/>
      </w:tabs>
      <w:spacing w:before="60" w:after="60"/>
    </w:pPr>
    <w:rPr>
      <w:i/>
      <w:sz w:val="22"/>
    </w:rPr>
  </w:style>
  <w:style w:type="table" w:styleId="TableGrid">
    <w:name w:val="Table Grid"/>
    <w:basedOn w:val="TableNormal"/>
    <w:uiPriority w:val="59"/>
    <w:rsid w:val="009219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AB1AD8"/>
    <w:pPr>
      <w:tabs>
        <w:tab w:val="clear" w:pos="357"/>
      </w:tabs>
      <w:spacing w:before="100" w:beforeAutospacing="1" w:after="100" w:afterAutospacing="1"/>
    </w:pPr>
    <w:rPr>
      <w:rFonts w:eastAsia="Calibri"/>
    </w:rPr>
  </w:style>
  <w:style w:type="paragraph" w:styleId="NoSpacing">
    <w:name w:val="No Spacing"/>
    <w:aliases w:val="Quotations"/>
    <w:link w:val="NoSpacingChar"/>
    <w:uiPriority w:val="1"/>
    <w:qFormat/>
    <w:rsid w:val="00003879"/>
    <w:rPr>
      <w:sz w:val="22"/>
      <w:szCs w:val="22"/>
    </w:rPr>
  </w:style>
  <w:style w:type="character" w:customStyle="1" w:styleId="NoSpacingChar">
    <w:name w:val="No Spacing Char"/>
    <w:aliases w:val="Quotations Char"/>
    <w:link w:val="NoSpacing"/>
    <w:uiPriority w:val="1"/>
    <w:rsid w:val="00003879"/>
    <w:rPr>
      <w:sz w:val="22"/>
      <w:szCs w:val="22"/>
    </w:rPr>
  </w:style>
  <w:style w:type="character" w:styleId="CommentReference">
    <w:name w:val="annotation reference"/>
    <w:uiPriority w:val="99"/>
    <w:unhideWhenUsed/>
    <w:rsid w:val="00003879"/>
    <w:rPr>
      <w:sz w:val="16"/>
      <w:szCs w:val="16"/>
    </w:rPr>
  </w:style>
  <w:style w:type="paragraph" w:styleId="CommentText">
    <w:name w:val="annotation text"/>
    <w:basedOn w:val="Normal"/>
    <w:link w:val="CommentTextChar"/>
    <w:uiPriority w:val="99"/>
    <w:unhideWhenUsed/>
    <w:rsid w:val="00003879"/>
    <w:rPr>
      <w:rFonts w:cs="Times New Roman"/>
      <w:sz w:val="20"/>
      <w:szCs w:val="20"/>
      <w:lang w:val="x-none" w:eastAsia="x-none"/>
    </w:rPr>
  </w:style>
  <w:style w:type="character" w:customStyle="1" w:styleId="CommentTextChar">
    <w:name w:val="Comment Text Char"/>
    <w:link w:val="CommentText"/>
    <w:uiPriority w:val="99"/>
    <w:rsid w:val="00003879"/>
    <w:rPr>
      <w:lang w:val="x-none" w:eastAsia="x-none"/>
    </w:rPr>
  </w:style>
  <w:style w:type="paragraph" w:styleId="BalloonText">
    <w:name w:val="Balloon Text"/>
    <w:basedOn w:val="Normal"/>
    <w:link w:val="BalloonTextChar"/>
    <w:uiPriority w:val="99"/>
    <w:semiHidden/>
    <w:unhideWhenUsed/>
    <w:rsid w:val="00003879"/>
    <w:pPr>
      <w:spacing w:after="0"/>
    </w:pPr>
    <w:rPr>
      <w:rFonts w:ascii="Tahoma" w:hAnsi="Tahoma" w:cs="Tahoma"/>
      <w:sz w:val="16"/>
      <w:szCs w:val="16"/>
    </w:rPr>
  </w:style>
  <w:style w:type="character" w:customStyle="1" w:styleId="BalloonTextChar">
    <w:name w:val="Balloon Text Char"/>
    <w:link w:val="BalloonText"/>
    <w:uiPriority w:val="99"/>
    <w:semiHidden/>
    <w:rsid w:val="00003879"/>
    <w:rPr>
      <w:rFonts w:ascii="Tahoma" w:hAnsi="Tahoma" w:cs="Tahoma"/>
      <w:sz w:val="16"/>
      <w:szCs w:val="16"/>
      <w:lang w:eastAsia="en-US"/>
    </w:rPr>
  </w:style>
  <w:style w:type="paragraph" w:styleId="Header">
    <w:name w:val="header"/>
    <w:basedOn w:val="Normal"/>
    <w:link w:val="HeaderChar"/>
    <w:uiPriority w:val="99"/>
    <w:unhideWhenUsed/>
    <w:rsid w:val="00003879"/>
    <w:pPr>
      <w:tabs>
        <w:tab w:val="clear" w:pos="357"/>
        <w:tab w:val="center" w:pos="4513"/>
        <w:tab w:val="right" w:pos="9026"/>
      </w:tabs>
    </w:pPr>
  </w:style>
  <w:style w:type="character" w:customStyle="1" w:styleId="HeaderChar">
    <w:name w:val="Header Char"/>
    <w:link w:val="Header"/>
    <w:uiPriority w:val="99"/>
    <w:rsid w:val="00003879"/>
    <w:rPr>
      <w:rFonts w:cs="Arial"/>
      <w:sz w:val="22"/>
      <w:szCs w:val="24"/>
      <w:lang w:eastAsia="en-US"/>
    </w:rPr>
  </w:style>
  <w:style w:type="paragraph" w:styleId="Footer">
    <w:name w:val="footer"/>
    <w:basedOn w:val="Normal"/>
    <w:link w:val="FooterChar"/>
    <w:uiPriority w:val="99"/>
    <w:unhideWhenUsed/>
    <w:rsid w:val="00003879"/>
    <w:pPr>
      <w:tabs>
        <w:tab w:val="clear" w:pos="357"/>
        <w:tab w:val="center" w:pos="4513"/>
        <w:tab w:val="right" w:pos="9026"/>
      </w:tabs>
    </w:pPr>
  </w:style>
  <w:style w:type="character" w:customStyle="1" w:styleId="FooterChar">
    <w:name w:val="Footer Char"/>
    <w:link w:val="Footer"/>
    <w:uiPriority w:val="99"/>
    <w:rsid w:val="00003879"/>
    <w:rPr>
      <w:rFonts w:cs="Arial"/>
      <w:sz w:val="22"/>
      <w:szCs w:val="24"/>
      <w:lang w:eastAsia="en-US"/>
    </w:rPr>
  </w:style>
  <w:style w:type="character" w:styleId="PageNumber">
    <w:name w:val="page number"/>
    <w:basedOn w:val="DefaultParagraphFont"/>
    <w:uiPriority w:val="99"/>
    <w:rsid w:val="00003879"/>
  </w:style>
  <w:style w:type="paragraph" w:styleId="TOC1">
    <w:name w:val="toc 1"/>
    <w:basedOn w:val="Normal"/>
    <w:next w:val="Normal"/>
    <w:autoRedefine/>
    <w:uiPriority w:val="39"/>
    <w:unhideWhenUsed/>
    <w:qFormat/>
    <w:rsid w:val="00062C81"/>
    <w:pPr>
      <w:tabs>
        <w:tab w:val="clear" w:pos="357"/>
        <w:tab w:val="right" w:leader="dot" w:pos="9027"/>
      </w:tabs>
    </w:pPr>
    <w:rPr>
      <w:bCs/>
      <w:szCs w:val="20"/>
    </w:rPr>
  </w:style>
  <w:style w:type="character" w:styleId="Hyperlink">
    <w:name w:val="Hyperlink"/>
    <w:uiPriority w:val="99"/>
    <w:unhideWhenUsed/>
    <w:qFormat/>
    <w:rsid w:val="00B668BF"/>
    <w:rPr>
      <w:color w:val="0000FF"/>
      <w:u w:val="single"/>
    </w:rPr>
  </w:style>
  <w:style w:type="paragraph" w:styleId="TOC2">
    <w:name w:val="toc 2"/>
    <w:basedOn w:val="Normal"/>
    <w:next w:val="Normal"/>
    <w:autoRedefine/>
    <w:uiPriority w:val="39"/>
    <w:unhideWhenUsed/>
    <w:qFormat/>
    <w:rsid w:val="00062C81"/>
    <w:pPr>
      <w:tabs>
        <w:tab w:val="clear" w:pos="357"/>
        <w:tab w:val="right" w:leader="dot" w:pos="9027"/>
      </w:tabs>
      <w:ind w:left="238"/>
    </w:pPr>
    <w:rPr>
      <w:szCs w:val="20"/>
    </w:rPr>
  </w:style>
  <w:style w:type="paragraph" w:styleId="TOC3">
    <w:name w:val="toc 3"/>
    <w:basedOn w:val="Normal"/>
    <w:next w:val="Normal"/>
    <w:autoRedefine/>
    <w:uiPriority w:val="39"/>
    <w:unhideWhenUsed/>
    <w:qFormat/>
    <w:rsid w:val="00062C81"/>
    <w:pPr>
      <w:tabs>
        <w:tab w:val="clear" w:pos="357"/>
        <w:tab w:val="right" w:leader="dot" w:pos="9027"/>
      </w:tabs>
      <w:ind w:left="482"/>
    </w:pPr>
    <w:rPr>
      <w:iCs/>
      <w:szCs w:val="20"/>
    </w:rPr>
  </w:style>
  <w:style w:type="character" w:styleId="FollowedHyperlink">
    <w:name w:val="FollowedHyperlink"/>
    <w:uiPriority w:val="99"/>
    <w:unhideWhenUsed/>
    <w:rsid w:val="00E15D08"/>
    <w:rPr>
      <w:color w:val="800080"/>
      <w:u w:val="single"/>
    </w:rPr>
  </w:style>
  <w:style w:type="paragraph" w:styleId="Caption">
    <w:name w:val="caption"/>
    <w:basedOn w:val="Normal"/>
    <w:next w:val="Normal"/>
    <w:uiPriority w:val="35"/>
    <w:unhideWhenUsed/>
    <w:qFormat/>
    <w:rsid w:val="00AB1837"/>
    <w:pPr>
      <w:spacing w:after="60"/>
    </w:pPr>
    <w:rPr>
      <w:rFonts w:ascii="Arial" w:hAnsi="Arial"/>
      <w:b/>
      <w:bCs/>
      <w:sz w:val="18"/>
      <w:szCs w:val="20"/>
    </w:rPr>
  </w:style>
  <w:style w:type="paragraph" w:styleId="TableofFigures">
    <w:name w:val="table of figures"/>
    <w:basedOn w:val="Normal"/>
    <w:next w:val="Normal"/>
    <w:uiPriority w:val="99"/>
    <w:unhideWhenUsed/>
    <w:rsid w:val="00AB1837"/>
    <w:pPr>
      <w:tabs>
        <w:tab w:val="clear" w:pos="357"/>
      </w:tabs>
    </w:pPr>
  </w:style>
  <w:style w:type="paragraph" w:customStyle="1" w:styleId="BulletPoints">
    <w:name w:val="Bullet Points"/>
    <w:basedOn w:val="Normal"/>
    <w:link w:val="BulletPointsChar"/>
    <w:qFormat/>
    <w:rsid w:val="006D4624"/>
    <w:pPr>
      <w:numPr>
        <w:numId w:val="1"/>
      </w:numPr>
      <w:spacing w:after="60"/>
      <w:ind w:left="357" w:hanging="357"/>
    </w:pPr>
  </w:style>
  <w:style w:type="character" w:customStyle="1" w:styleId="BulletPointsChar">
    <w:name w:val="Bullet Points Char"/>
    <w:link w:val="BulletPoints"/>
    <w:rsid w:val="006D4624"/>
    <w:rPr>
      <w:rFonts w:cs="Arial"/>
      <w:sz w:val="24"/>
      <w:szCs w:val="24"/>
      <w:lang w:eastAsia="en-US"/>
    </w:rPr>
  </w:style>
  <w:style w:type="paragraph" w:customStyle="1" w:styleId="Bullet2ndLevel">
    <w:name w:val="Bullet 2nd Level"/>
    <w:basedOn w:val="BulletPoints"/>
    <w:link w:val="Bullet2ndLevelChar"/>
    <w:qFormat/>
    <w:rsid w:val="00966148"/>
    <w:pPr>
      <w:numPr>
        <w:ilvl w:val="1"/>
        <w:numId w:val="2"/>
      </w:numPr>
      <w:spacing w:after="120"/>
      <w:ind w:left="717"/>
    </w:pPr>
  </w:style>
  <w:style w:type="character" w:customStyle="1" w:styleId="Bullet2ndLevelChar">
    <w:name w:val="Bullet 2nd Level Char"/>
    <w:link w:val="Bullet2ndLevel"/>
    <w:rsid w:val="00966148"/>
    <w:rPr>
      <w:rFonts w:cs="Arial"/>
      <w:sz w:val="24"/>
      <w:szCs w:val="24"/>
      <w:lang w:eastAsia="en-US"/>
    </w:rPr>
  </w:style>
  <w:style w:type="paragraph" w:customStyle="1" w:styleId="NumberedPoints">
    <w:name w:val="Numbered Points"/>
    <w:basedOn w:val="Normal"/>
    <w:link w:val="NumberedPointsChar"/>
    <w:qFormat/>
    <w:rsid w:val="001F6FD6"/>
    <w:pPr>
      <w:numPr>
        <w:numId w:val="3"/>
      </w:numPr>
    </w:pPr>
  </w:style>
  <w:style w:type="character" w:customStyle="1" w:styleId="NumberedPointsChar">
    <w:name w:val="Numbered Points Char"/>
    <w:link w:val="NumberedPoints"/>
    <w:rsid w:val="001F6FD6"/>
    <w:rPr>
      <w:rFonts w:cs="Arial"/>
      <w:sz w:val="24"/>
      <w:szCs w:val="24"/>
      <w:lang w:eastAsia="en-US"/>
    </w:rPr>
  </w:style>
  <w:style w:type="paragraph" w:customStyle="1" w:styleId="TblHeading">
    <w:name w:val="Tbl Heading"/>
    <w:basedOn w:val="BulletPoints"/>
    <w:link w:val="TblHeadingChar"/>
    <w:qFormat/>
    <w:rsid w:val="008937F2"/>
    <w:pPr>
      <w:numPr>
        <w:numId w:val="0"/>
      </w:numPr>
      <w:spacing w:before="60" w:after="120"/>
    </w:pPr>
    <w:rPr>
      <w:b/>
      <w:sz w:val="22"/>
      <w:szCs w:val="22"/>
    </w:rPr>
  </w:style>
  <w:style w:type="character" w:customStyle="1" w:styleId="TblHeadingChar">
    <w:name w:val="Tbl Heading Char"/>
    <w:link w:val="TblHeading"/>
    <w:rsid w:val="008937F2"/>
    <w:rPr>
      <w:rFonts w:cs="Arial"/>
      <w:b/>
      <w:sz w:val="22"/>
      <w:szCs w:val="22"/>
      <w:lang w:eastAsia="en-US"/>
    </w:rPr>
  </w:style>
  <w:style w:type="paragraph" w:customStyle="1" w:styleId="TblText">
    <w:name w:val="Tbl Text"/>
    <w:basedOn w:val="Normal"/>
    <w:link w:val="TblTextChar"/>
    <w:qFormat/>
    <w:rsid w:val="005F7BA0"/>
    <w:pPr>
      <w:spacing w:before="40" w:after="40"/>
    </w:pPr>
    <w:rPr>
      <w:sz w:val="18"/>
      <w:szCs w:val="18"/>
    </w:rPr>
  </w:style>
  <w:style w:type="character" w:customStyle="1" w:styleId="TblTextChar">
    <w:name w:val="Tbl Text Char"/>
    <w:link w:val="TblText"/>
    <w:rsid w:val="005F7BA0"/>
    <w:rPr>
      <w:rFonts w:ascii="Arial" w:hAnsi="Arial" w:cs="Arial"/>
      <w:sz w:val="18"/>
      <w:szCs w:val="18"/>
      <w:lang w:eastAsia="en-US"/>
    </w:rPr>
  </w:style>
  <w:style w:type="paragraph" w:customStyle="1" w:styleId="Bullet">
    <w:name w:val="Bullet"/>
    <w:basedOn w:val="BulletPoints"/>
    <w:next w:val="BulletPoints"/>
    <w:link w:val="BulletChar"/>
    <w:qFormat/>
    <w:rsid w:val="00EC7A74"/>
    <w:pPr>
      <w:numPr>
        <w:numId w:val="4"/>
      </w:numPr>
      <w:spacing w:before="40" w:after="40"/>
    </w:pPr>
    <w:rPr>
      <w:szCs w:val="18"/>
    </w:rPr>
  </w:style>
  <w:style w:type="character" w:customStyle="1" w:styleId="BulletChar">
    <w:name w:val="Bullet Char"/>
    <w:link w:val="Bullet"/>
    <w:rsid w:val="00EC7A74"/>
    <w:rPr>
      <w:rFonts w:cs="Arial"/>
      <w:sz w:val="24"/>
      <w:szCs w:val="18"/>
      <w:lang w:eastAsia="en-US"/>
    </w:rPr>
  </w:style>
  <w:style w:type="paragraph" w:styleId="TOCHeading">
    <w:name w:val="TOC Heading"/>
    <w:basedOn w:val="Heading1"/>
    <w:next w:val="Normal"/>
    <w:uiPriority w:val="39"/>
    <w:unhideWhenUsed/>
    <w:qFormat/>
    <w:rsid w:val="008937F2"/>
    <w:pPr>
      <w:spacing w:before="240" w:after="360"/>
      <w:jc w:val="both"/>
      <w:outlineLvl w:val="9"/>
    </w:pPr>
    <w:rPr>
      <w:rFonts w:ascii="Cambria" w:hAnsi="Cambria"/>
      <w:sz w:val="32"/>
    </w:rPr>
  </w:style>
  <w:style w:type="character" w:styleId="FootnoteReference">
    <w:name w:val="footnote reference"/>
    <w:aliases w:val="Footnote text,ftref,BVI fnr,FNRefe,(NECG) Footnote Reference,-E Fu§notenzeichen,-E Fußnotenzeichen,-E Fuﬂnotenzeichen,11,11 p,11 pt,16 Point,????,Footnote Reference1,Ref,Ref1,Superscript 6 Point,de nota al pie,de nota al pie1,註??腳內—e"/>
    <w:link w:val="CharChar6CharCharCharCharCharChar"/>
    <w:uiPriority w:val="31"/>
    <w:rsid w:val="00E02B99"/>
    <w:rPr>
      <w:vertAlign w:val="superscript"/>
    </w:rPr>
  </w:style>
  <w:style w:type="paragraph" w:styleId="ListParagraph">
    <w:name w:val="List Paragraph"/>
    <w:aliases w:val="List Paragraph1,List Paragraph11,Recommendation"/>
    <w:basedOn w:val="Normal"/>
    <w:link w:val="ListParagraphChar"/>
    <w:uiPriority w:val="34"/>
    <w:qFormat/>
    <w:rsid w:val="00E02B99"/>
    <w:pPr>
      <w:ind w:left="720"/>
      <w:contextualSpacing/>
    </w:pPr>
    <w:rPr>
      <w:rFonts w:eastAsia="Calibri" w:cs="Times New Roman"/>
      <w:sz w:val="22"/>
      <w:szCs w:val="22"/>
    </w:rPr>
  </w:style>
  <w:style w:type="character" w:customStyle="1" w:styleId="ListParagraphChar">
    <w:name w:val="List Paragraph Char"/>
    <w:aliases w:val="List Paragraph1 Char,List Paragraph11 Char,Recommendation Char"/>
    <w:link w:val="ListParagraph"/>
    <w:uiPriority w:val="34"/>
    <w:rsid w:val="00E02B99"/>
    <w:rPr>
      <w:rFonts w:eastAsia="Calibri"/>
      <w:sz w:val="22"/>
      <w:szCs w:val="22"/>
      <w:lang w:eastAsia="en-US"/>
    </w:rPr>
  </w:style>
  <w:style w:type="paragraph" w:styleId="MessageHeader">
    <w:name w:val="Message Header"/>
    <w:basedOn w:val="Normal"/>
    <w:link w:val="MessageHeaderChar"/>
    <w:semiHidden/>
    <w:rsid w:val="00E02B99"/>
    <w:pPr>
      <w:numPr>
        <w:numId w:val="5"/>
      </w:numPr>
      <w:pBdr>
        <w:top w:val="single" w:sz="6" w:space="1" w:color="auto"/>
        <w:left w:val="single" w:sz="6" w:space="1" w:color="auto"/>
        <w:bottom w:val="single" w:sz="6" w:space="1" w:color="auto"/>
        <w:right w:val="single" w:sz="6" w:space="1" w:color="auto"/>
      </w:pBdr>
      <w:shd w:val="pct20" w:color="auto" w:fill="auto"/>
      <w:tabs>
        <w:tab w:val="clear" w:pos="357"/>
        <w:tab w:val="clear" w:pos="926"/>
      </w:tabs>
      <w:ind w:left="1134" w:hanging="1134"/>
    </w:pPr>
    <w:rPr>
      <w:snapToGrid w:val="0"/>
      <w:lang w:eastAsia="en-AU"/>
    </w:rPr>
  </w:style>
  <w:style w:type="character" w:customStyle="1" w:styleId="MessageHeaderChar">
    <w:name w:val="Message Header Char"/>
    <w:link w:val="MessageHeader"/>
    <w:semiHidden/>
    <w:rsid w:val="00E02B99"/>
    <w:rPr>
      <w:rFonts w:cs="Arial"/>
      <w:snapToGrid w:val="0"/>
      <w:sz w:val="24"/>
      <w:szCs w:val="24"/>
      <w:shd w:val="pct20" w:color="auto" w:fill="auto"/>
    </w:rPr>
  </w:style>
  <w:style w:type="paragraph" w:styleId="NoteHeading">
    <w:name w:val="Note Heading"/>
    <w:basedOn w:val="Normal"/>
    <w:next w:val="Normal"/>
    <w:link w:val="NoteHeadingChar"/>
    <w:semiHidden/>
    <w:rsid w:val="00E02B99"/>
    <w:pPr>
      <w:numPr>
        <w:numId w:val="6"/>
      </w:numPr>
      <w:tabs>
        <w:tab w:val="clear" w:pos="357"/>
        <w:tab w:val="clear" w:pos="1492"/>
      </w:tabs>
      <w:ind w:left="0" w:firstLine="0"/>
    </w:pPr>
    <w:rPr>
      <w:rFonts w:cs="Times New Roman"/>
      <w:snapToGrid w:val="0"/>
      <w:szCs w:val="20"/>
      <w:lang w:eastAsia="en-AU"/>
    </w:rPr>
  </w:style>
  <w:style w:type="character" w:customStyle="1" w:styleId="NoteHeadingChar">
    <w:name w:val="Note Heading Char"/>
    <w:link w:val="NoteHeading"/>
    <w:semiHidden/>
    <w:rsid w:val="00E02B99"/>
    <w:rPr>
      <w:snapToGrid w:val="0"/>
      <w:sz w:val="24"/>
    </w:rPr>
  </w:style>
  <w:style w:type="paragraph" w:customStyle="1" w:styleId="NcondensedChar">
    <w:name w:val="N condensed Char"/>
    <w:basedOn w:val="Normal"/>
    <w:rsid w:val="00E02B99"/>
    <w:pPr>
      <w:numPr>
        <w:numId w:val="7"/>
      </w:numPr>
      <w:tabs>
        <w:tab w:val="clear" w:pos="357"/>
        <w:tab w:val="clear" w:pos="643"/>
      </w:tabs>
      <w:ind w:left="0" w:firstLine="0"/>
    </w:pPr>
    <w:rPr>
      <w:rFonts w:cs="Times New Roman"/>
      <w:snapToGrid w:val="0"/>
      <w:spacing w:val="-2"/>
      <w:sz w:val="22"/>
      <w:szCs w:val="20"/>
    </w:rPr>
  </w:style>
  <w:style w:type="character" w:customStyle="1" w:styleId="apple-converted-space">
    <w:name w:val="apple-converted-space"/>
    <w:rsid w:val="00E02B99"/>
  </w:style>
  <w:style w:type="paragraph" w:styleId="CommentSubject">
    <w:name w:val="annotation subject"/>
    <w:basedOn w:val="CommentText"/>
    <w:next w:val="CommentText"/>
    <w:link w:val="CommentSubjectChar"/>
    <w:uiPriority w:val="99"/>
    <w:semiHidden/>
    <w:unhideWhenUsed/>
    <w:rsid w:val="00BB685A"/>
    <w:rPr>
      <w:rFonts w:cs="Arial"/>
      <w:b/>
      <w:bCs/>
      <w:lang w:val="en-AU" w:eastAsia="en-US"/>
    </w:rPr>
  </w:style>
  <w:style w:type="character" w:customStyle="1" w:styleId="CommentSubjectChar">
    <w:name w:val="Comment Subject Char"/>
    <w:link w:val="CommentSubject"/>
    <w:uiPriority w:val="99"/>
    <w:semiHidden/>
    <w:rsid w:val="00BB685A"/>
    <w:rPr>
      <w:rFonts w:ascii="Arial" w:hAnsi="Arial" w:cs="Arial"/>
      <w:b/>
      <w:bCs/>
      <w:lang w:val="x-none" w:eastAsia="en-US"/>
    </w:rPr>
  </w:style>
  <w:style w:type="paragraph" w:styleId="BodyTextIndent2">
    <w:name w:val="Body Text Indent 2"/>
    <w:basedOn w:val="Normal"/>
    <w:link w:val="BodyTextIndent2Char"/>
    <w:rsid w:val="00432EA7"/>
    <w:pPr>
      <w:widowControl w:val="0"/>
      <w:pBdr>
        <w:top w:val="single" w:sz="6" w:space="3" w:color="auto" w:shadow="1"/>
        <w:left w:val="single" w:sz="6" w:space="3" w:color="auto" w:shadow="1"/>
        <w:bottom w:val="single" w:sz="6" w:space="3" w:color="auto" w:shadow="1"/>
        <w:right w:val="single" w:sz="6" w:space="3" w:color="auto" w:shadow="1"/>
      </w:pBdr>
      <w:shd w:val="pct5" w:color="auto" w:fill="auto"/>
      <w:tabs>
        <w:tab w:val="clear" w:pos="357"/>
      </w:tabs>
      <w:spacing w:after="0"/>
      <w:ind w:firstLine="567"/>
    </w:pPr>
    <w:rPr>
      <w:rFonts w:ascii="Times" w:hAnsi="Times" w:cs="Times New Roman"/>
      <w:i/>
      <w:color w:val="000000"/>
      <w:sz w:val="26"/>
      <w:szCs w:val="20"/>
      <w:lang w:eastAsia="en-AU"/>
    </w:rPr>
  </w:style>
  <w:style w:type="character" w:customStyle="1" w:styleId="BodyTextIndent2Char">
    <w:name w:val="Body Text Indent 2 Char"/>
    <w:link w:val="BodyTextIndent2"/>
    <w:rsid w:val="00432EA7"/>
    <w:rPr>
      <w:rFonts w:ascii="Times" w:hAnsi="Times"/>
      <w:i/>
      <w:color w:val="000000"/>
      <w:sz w:val="26"/>
      <w:shd w:val="pct5" w:color="auto" w:fill="auto"/>
    </w:rPr>
  </w:style>
  <w:style w:type="paragraph" w:styleId="ListBullet">
    <w:name w:val="List Bullet"/>
    <w:basedOn w:val="Normal"/>
    <w:uiPriority w:val="99"/>
    <w:rsid w:val="00B6091A"/>
    <w:pPr>
      <w:tabs>
        <w:tab w:val="clear" w:pos="357"/>
        <w:tab w:val="num" w:pos="360"/>
      </w:tabs>
      <w:spacing w:after="0"/>
      <w:ind w:left="360" w:hanging="360"/>
    </w:pPr>
    <w:rPr>
      <w:rFonts w:ascii="Calibri" w:eastAsia="Calibri" w:hAnsi="Calibri" w:cs="Times New Roman"/>
      <w:sz w:val="22"/>
      <w:szCs w:val="22"/>
    </w:rPr>
  </w:style>
  <w:style w:type="paragraph" w:customStyle="1" w:styleId="Default">
    <w:name w:val="Default"/>
    <w:rsid w:val="00A314A9"/>
    <w:pPr>
      <w:autoSpaceDE w:val="0"/>
      <w:autoSpaceDN w:val="0"/>
      <w:adjustRightInd w:val="0"/>
    </w:pPr>
    <w:rPr>
      <w:color w:val="000000"/>
      <w:sz w:val="24"/>
      <w:szCs w:val="24"/>
    </w:rPr>
  </w:style>
  <w:style w:type="paragraph" w:styleId="Revision">
    <w:name w:val="Revision"/>
    <w:hidden/>
    <w:uiPriority w:val="99"/>
    <w:semiHidden/>
    <w:rsid w:val="0072774F"/>
    <w:rPr>
      <w:rFonts w:ascii="Arial" w:hAnsi="Arial" w:cs="Arial"/>
      <w:szCs w:val="24"/>
      <w:lang w:eastAsia="en-US"/>
    </w:rPr>
  </w:style>
  <w:style w:type="paragraph" w:customStyle="1" w:styleId="PFNumLevel2">
    <w:name w:val="PF (Num) Level 2"/>
    <w:basedOn w:val="Normal"/>
    <w:rsid w:val="00775955"/>
    <w:pPr>
      <w:numPr>
        <w:ilvl w:val="1"/>
        <w:numId w:val="8"/>
      </w:numPr>
      <w:tabs>
        <w:tab w:val="clear" w:pos="357"/>
        <w:tab w:val="left" w:pos="2773"/>
        <w:tab w:val="left" w:pos="3697"/>
        <w:tab w:val="left" w:pos="4621"/>
        <w:tab w:val="left" w:pos="5545"/>
        <w:tab w:val="left" w:pos="6469"/>
        <w:tab w:val="left" w:pos="7394"/>
        <w:tab w:val="left" w:pos="8318"/>
        <w:tab w:val="right" w:pos="8930"/>
      </w:tabs>
      <w:spacing w:line="276" w:lineRule="auto"/>
    </w:pPr>
    <w:rPr>
      <w:rFonts w:cs="Times New Roman"/>
      <w:color w:val="000000"/>
      <w:sz w:val="21"/>
      <w:szCs w:val="20"/>
    </w:rPr>
  </w:style>
  <w:style w:type="paragraph" w:customStyle="1" w:styleId="PFNumLevel3">
    <w:name w:val="PF (Num) Level 3"/>
    <w:basedOn w:val="Normal"/>
    <w:rsid w:val="00775955"/>
    <w:pPr>
      <w:numPr>
        <w:ilvl w:val="2"/>
        <w:numId w:val="8"/>
      </w:numPr>
      <w:tabs>
        <w:tab w:val="clear" w:pos="357"/>
        <w:tab w:val="left" w:pos="3697"/>
        <w:tab w:val="left" w:pos="4621"/>
        <w:tab w:val="left" w:pos="5545"/>
        <w:tab w:val="left" w:pos="6469"/>
        <w:tab w:val="left" w:pos="7394"/>
        <w:tab w:val="left" w:pos="8318"/>
        <w:tab w:val="right" w:pos="8930"/>
      </w:tabs>
      <w:spacing w:line="276" w:lineRule="auto"/>
    </w:pPr>
    <w:rPr>
      <w:rFonts w:cs="Times New Roman"/>
      <w:color w:val="000000"/>
      <w:sz w:val="21"/>
      <w:szCs w:val="20"/>
    </w:rPr>
  </w:style>
  <w:style w:type="paragraph" w:customStyle="1" w:styleId="PFNumLevel4">
    <w:name w:val="PF (Num) Level 4"/>
    <w:basedOn w:val="Normal"/>
    <w:rsid w:val="00775955"/>
    <w:pPr>
      <w:numPr>
        <w:ilvl w:val="3"/>
        <w:numId w:val="8"/>
      </w:numPr>
      <w:tabs>
        <w:tab w:val="clear" w:pos="357"/>
        <w:tab w:val="left" w:pos="4621"/>
        <w:tab w:val="left" w:pos="5545"/>
        <w:tab w:val="left" w:pos="6469"/>
        <w:tab w:val="left" w:pos="7394"/>
        <w:tab w:val="left" w:pos="8318"/>
        <w:tab w:val="right" w:pos="8930"/>
      </w:tabs>
      <w:spacing w:line="276" w:lineRule="auto"/>
    </w:pPr>
    <w:rPr>
      <w:rFonts w:cs="Times New Roman"/>
      <w:color w:val="000000"/>
      <w:sz w:val="21"/>
      <w:szCs w:val="20"/>
    </w:rPr>
  </w:style>
  <w:style w:type="paragraph" w:customStyle="1" w:styleId="PFNumLevel5">
    <w:name w:val="PF (Num) Level 5"/>
    <w:basedOn w:val="Normal"/>
    <w:rsid w:val="00775955"/>
    <w:pPr>
      <w:numPr>
        <w:ilvl w:val="4"/>
        <w:numId w:val="8"/>
      </w:numPr>
      <w:tabs>
        <w:tab w:val="clear" w:pos="357"/>
        <w:tab w:val="left" w:pos="2773"/>
        <w:tab w:val="left" w:pos="3697"/>
        <w:tab w:val="left" w:pos="4621"/>
        <w:tab w:val="left" w:pos="5545"/>
        <w:tab w:val="left" w:pos="6469"/>
        <w:tab w:val="left" w:pos="7394"/>
        <w:tab w:val="left" w:pos="8318"/>
        <w:tab w:val="right" w:pos="8930"/>
      </w:tabs>
      <w:spacing w:line="276" w:lineRule="auto"/>
    </w:pPr>
    <w:rPr>
      <w:rFonts w:cs="Times New Roman"/>
      <w:color w:val="000000"/>
      <w:sz w:val="21"/>
      <w:szCs w:val="20"/>
    </w:rPr>
  </w:style>
  <w:style w:type="paragraph" w:customStyle="1" w:styleId="Heading1A">
    <w:name w:val="Heading 1A"/>
    <w:basedOn w:val="Heading1"/>
    <w:next w:val="Normal"/>
    <w:rsid w:val="00775955"/>
    <w:pPr>
      <w:tabs>
        <w:tab w:val="clear" w:pos="357"/>
        <w:tab w:val="left" w:pos="924"/>
        <w:tab w:val="num" w:pos="1029"/>
        <w:tab w:val="left" w:pos="1848"/>
        <w:tab w:val="left" w:pos="2773"/>
        <w:tab w:val="left" w:pos="3697"/>
        <w:tab w:val="left" w:pos="4621"/>
        <w:tab w:val="left" w:pos="5545"/>
        <w:tab w:val="left" w:pos="6469"/>
        <w:tab w:val="left" w:pos="7394"/>
        <w:tab w:val="left" w:pos="8318"/>
        <w:tab w:val="right" w:pos="8930"/>
      </w:tabs>
      <w:spacing w:before="400" w:line="276" w:lineRule="auto"/>
      <w:ind w:left="1029" w:hanging="924"/>
    </w:pPr>
    <w:rPr>
      <w:bCs w:val="0"/>
      <w:color w:val="000000"/>
      <w:kern w:val="28"/>
      <w:szCs w:val="20"/>
    </w:rPr>
  </w:style>
  <w:style w:type="paragraph" w:customStyle="1" w:styleId="PFNumLevel6">
    <w:name w:val="PF (Num) Level 6"/>
    <w:basedOn w:val="PFNumLevel4"/>
    <w:rsid w:val="00775955"/>
    <w:pPr>
      <w:numPr>
        <w:ilvl w:val="0"/>
        <w:numId w:val="0"/>
      </w:numPr>
      <w:tabs>
        <w:tab w:val="num" w:pos="3697"/>
      </w:tabs>
      <w:ind w:left="3697" w:hanging="924"/>
    </w:pPr>
  </w:style>
  <w:style w:type="character" w:styleId="SubtleEmphasis">
    <w:name w:val="Subtle Emphasis"/>
    <w:aliases w:val="normal text"/>
    <w:uiPriority w:val="19"/>
    <w:qFormat/>
    <w:rsid w:val="00DE39E3"/>
    <w:rPr>
      <w:rFonts w:ascii="Arial" w:hAnsi="Arial"/>
      <w:b w:val="0"/>
      <w:i w:val="0"/>
      <w:iCs/>
      <w:color w:val="auto"/>
      <w:sz w:val="20"/>
    </w:rPr>
  </w:style>
  <w:style w:type="character" w:customStyle="1" w:styleId="citation">
    <w:name w:val="citation"/>
    <w:rsid w:val="00114CDF"/>
  </w:style>
  <w:style w:type="character" w:customStyle="1" w:styleId="ref-journal">
    <w:name w:val="ref-journal"/>
    <w:rsid w:val="00114CDF"/>
  </w:style>
  <w:style w:type="character" w:customStyle="1" w:styleId="ref-vol">
    <w:name w:val="ref-vol"/>
    <w:rsid w:val="00114CDF"/>
  </w:style>
  <w:style w:type="character" w:styleId="Strong">
    <w:name w:val="Strong"/>
    <w:uiPriority w:val="22"/>
    <w:qFormat/>
    <w:rsid w:val="00CB1BCD"/>
    <w:rPr>
      <w:b/>
      <w:bCs/>
    </w:rPr>
  </w:style>
  <w:style w:type="character" w:styleId="Emphasis">
    <w:name w:val="Emphasis"/>
    <w:uiPriority w:val="20"/>
    <w:qFormat/>
    <w:rsid w:val="00271FDC"/>
    <w:rPr>
      <w:i/>
      <w:iCs/>
    </w:rPr>
  </w:style>
  <w:style w:type="paragraph" w:customStyle="1" w:styleId="TblBullet">
    <w:name w:val="Tbl Bullet"/>
    <w:basedOn w:val="Normal"/>
    <w:link w:val="TblBulletChar"/>
    <w:qFormat/>
    <w:rsid w:val="008F5398"/>
    <w:pPr>
      <w:spacing w:before="40" w:after="40"/>
    </w:pPr>
    <w:rPr>
      <w:sz w:val="18"/>
      <w:szCs w:val="18"/>
    </w:rPr>
  </w:style>
  <w:style w:type="character" w:customStyle="1" w:styleId="TblBulletChar">
    <w:name w:val="Tbl Bullet Char"/>
    <w:link w:val="TblBullet"/>
    <w:rsid w:val="008F5398"/>
    <w:rPr>
      <w:rFonts w:ascii="Arial" w:hAnsi="Arial" w:cs="Arial"/>
      <w:sz w:val="18"/>
      <w:szCs w:val="18"/>
      <w:lang w:eastAsia="en-US"/>
    </w:rPr>
  </w:style>
  <w:style w:type="character" w:customStyle="1" w:styleId="A2">
    <w:name w:val="A2"/>
    <w:uiPriority w:val="99"/>
    <w:rsid w:val="00187AEC"/>
    <w:rPr>
      <w:rFonts w:cs="Bliss"/>
      <w:color w:val="000000"/>
      <w:sz w:val="52"/>
      <w:szCs w:val="52"/>
    </w:rPr>
  </w:style>
  <w:style w:type="paragraph" w:styleId="DocumentMap">
    <w:name w:val="Document Map"/>
    <w:basedOn w:val="Normal"/>
    <w:link w:val="DocumentMapChar"/>
    <w:uiPriority w:val="99"/>
    <w:semiHidden/>
    <w:unhideWhenUsed/>
    <w:rsid w:val="00187AEC"/>
    <w:pPr>
      <w:spacing w:before="0" w:after="0"/>
    </w:pPr>
    <w:rPr>
      <w:rFonts w:ascii="Tahoma" w:hAnsi="Tahoma" w:cs="Tahoma"/>
      <w:sz w:val="16"/>
      <w:szCs w:val="16"/>
    </w:rPr>
  </w:style>
  <w:style w:type="character" w:customStyle="1" w:styleId="DocumentMapChar">
    <w:name w:val="Document Map Char"/>
    <w:link w:val="DocumentMap"/>
    <w:uiPriority w:val="99"/>
    <w:semiHidden/>
    <w:rsid w:val="00187AEC"/>
    <w:rPr>
      <w:rFonts w:ascii="Tahoma" w:hAnsi="Tahoma" w:cs="Tahoma"/>
      <w:sz w:val="16"/>
      <w:szCs w:val="16"/>
      <w:lang w:eastAsia="en-US"/>
    </w:rPr>
  </w:style>
  <w:style w:type="character" w:customStyle="1" w:styleId="number">
    <w:name w:val="number"/>
    <w:rsid w:val="00187AEC"/>
  </w:style>
  <w:style w:type="character" w:customStyle="1" w:styleId="slug-doi2">
    <w:name w:val="slug-doi2"/>
    <w:rsid w:val="00187AEC"/>
  </w:style>
  <w:style w:type="paragraph" w:customStyle="1" w:styleId="TableNotes">
    <w:name w:val="Table Notes"/>
    <w:basedOn w:val="Normal"/>
    <w:uiPriority w:val="99"/>
    <w:rsid w:val="00187AEC"/>
    <w:pPr>
      <w:spacing w:before="0"/>
    </w:pPr>
    <w:rPr>
      <w:szCs w:val="22"/>
      <w:lang w:val="en-GB"/>
    </w:rPr>
  </w:style>
  <w:style w:type="paragraph" w:customStyle="1" w:styleId="TableHeading">
    <w:name w:val="Table Heading"/>
    <w:basedOn w:val="Normal"/>
    <w:uiPriority w:val="99"/>
    <w:rsid w:val="00187AEC"/>
    <w:pPr>
      <w:spacing w:before="0"/>
    </w:pPr>
    <w:rPr>
      <w:b/>
      <w:szCs w:val="22"/>
      <w:lang w:val="en-GB"/>
    </w:rPr>
  </w:style>
  <w:style w:type="paragraph" w:styleId="Title">
    <w:name w:val="Title"/>
    <w:next w:val="Normal"/>
    <w:link w:val="TitleChar"/>
    <w:uiPriority w:val="10"/>
    <w:qFormat/>
    <w:rsid w:val="00E1532E"/>
    <w:pPr>
      <w:spacing w:after="3000"/>
      <w:jc w:val="center"/>
    </w:pPr>
    <w:rPr>
      <w:rFonts w:cs="Arial"/>
      <w:b/>
      <w:color w:val="FFFFFF"/>
      <w:sz w:val="48"/>
      <w:szCs w:val="48"/>
      <w:lang w:eastAsia="en-US"/>
    </w:rPr>
  </w:style>
  <w:style w:type="character" w:customStyle="1" w:styleId="TitleChar">
    <w:name w:val="Title Char"/>
    <w:link w:val="Title"/>
    <w:uiPriority w:val="10"/>
    <w:rsid w:val="00E1532E"/>
    <w:rPr>
      <w:rFonts w:cs="Arial"/>
      <w:b/>
      <w:color w:val="FFFFFF"/>
      <w:sz w:val="48"/>
      <w:szCs w:val="48"/>
      <w:lang w:eastAsia="en-US"/>
    </w:rPr>
  </w:style>
  <w:style w:type="paragraph" w:styleId="Subtitle">
    <w:name w:val="Subtitle"/>
    <w:basedOn w:val="Normal"/>
    <w:next w:val="Normal"/>
    <w:link w:val="SubtitleChar"/>
    <w:uiPriority w:val="11"/>
    <w:qFormat/>
    <w:rsid w:val="00375A41"/>
    <w:pPr>
      <w:spacing w:after="2800"/>
    </w:pPr>
    <w:rPr>
      <w:b/>
      <w:color w:val="C00000"/>
      <w:sz w:val="36"/>
      <w:szCs w:val="36"/>
    </w:rPr>
  </w:style>
  <w:style w:type="character" w:customStyle="1" w:styleId="SubtitleChar">
    <w:name w:val="Subtitle Char"/>
    <w:link w:val="Subtitle"/>
    <w:uiPriority w:val="11"/>
    <w:rsid w:val="00375A41"/>
    <w:rPr>
      <w:rFonts w:cs="Arial"/>
      <w:b/>
      <w:color w:val="C00000"/>
      <w:sz w:val="36"/>
      <w:szCs w:val="36"/>
      <w:lang w:eastAsia="en-US"/>
    </w:rPr>
  </w:style>
  <w:style w:type="paragraph" w:styleId="Quote">
    <w:name w:val="Quote"/>
    <w:basedOn w:val="Normal"/>
    <w:next w:val="Normal"/>
    <w:link w:val="QuoteChar"/>
    <w:uiPriority w:val="29"/>
    <w:rsid w:val="00187AEC"/>
    <w:pPr>
      <w:spacing w:before="0"/>
    </w:pPr>
    <w:rPr>
      <w:i/>
      <w:szCs w:val="22"/>
      <w:lang w:val="en-GB" w:eastAsia="en-AU"/>
    </w:rPr>
  </w:style>
  <w:style w:type="character" w:customStyle="1" w:styleId="QuoteChar">
    <w:name w:val="Quote Char"/>
    <w:link w:val="Quote"/>
    <w:uiPriority w:val="29"/>
    <w:rsid w:val="00187AEC"/>
    <w:rPr>
      <w:rFonts w:ascii="Arial" w:hAnsi="Arial" w:cs="Arial"/>
      <w:i/>
      <w:szCs w:val="22"/>
      <w:lang w:val="en-GB"/>
    </w:rPr>
  </w:style>
  <w:style w:type="paragraph" w:styleId="IntenseQuote">
    <w:name w:val="Intense Quote"/>
    <w:basedOn w:val="Normal"/>
    <w:next w:val="Normal"/>
    <w:link w:val="IntenseQuoteChar"/>
    <w:uiPriority w:val="99"/>
    <w:qFormat/>
    <w:rsid w:val="00187AEC"/>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szCs w:val="22"/>
      <w:lang w:val="en-GB" w:eastAsia="en-AU"/>
    </w:rPr>
  </w:style>
  <w:style w:type="character" w:customStyle="1" w:styleId="IntenseQuoteChar">
    <w:name w:val="Intense Quote Char"/>
    <w:link w:val="IntenseQuote"/>
    <w:uiPriority w:val="99"/>
    <w:rsid w:val="00187AEC"/>
    <w:rPr>
      <w:rFonts w:ascii="Arial" w:hAnsi="Arial" w:cs="Arial"/>
      <w:b/>
      <w:i/>
      <w:color w:val="FFFFFF"/>
      <w:szCs w:val="22"/>
      <w:shd w:val="clear" w:color="auto" w:fill="C0504D"/>
      <w:lang w:val="en-GB"/>
    </w:rPr>
  </w:style>
  <w:style w:type="character" w:styleId="IntenseEmphasis">
    <w:name w:val="Intense Emphasis"/>
    <w:uiPriority w:val="21"/>
    <w:qFormat/>
    <w:rsid w:val="00187AEC"/>
    <w:rPr>
      <w:rFonts w:cs="Times New Roman"/>
      <w:b/>
      <w:i/>
      <w:color w:val="C0504D"/>
      <w:spacing w:val="10"/>
    </w:rPr>
  </w:style>
  <w:style w:type="character" w:styleId="SubtleReference">
    <w:name w:val="Subtle Reference"/>
    <w:uiPriority w:val="99"/>
    <w:qFormat/>
    <w:rsid w:val="00187AEC"/>
    <w:rPr>
      <w:rFonts w:cs="Times New Roman"/>
      <w:b/>
    </w:rPr>
  </w:style>
  <w:style w:type="character" w:styleId="IntenseReference">
    <w:name w:val="Intense Reference"/>
    <w:uiPriority w:val="99"/>
    <w:qFormat/>
    <w:rsid w:val="00187AEC"/>
    <w:rPr>
      <w:rFonts w:cs="Times New Roman"/>
      <w:b/>
      <w:smallCaps/>
      <w:spacing w:val="5"/>
      <w:sz w:val="22"/>
      <w:u w:val="single"/>
    </w:rPr>
  </w:style>
  <w:style w:type="character" w:styleId="BookTitle">
    <w:name w:val="Book Title"/>
    <w:uiPriority w:val="99"/>
    <w:rsid w:val="00187AEC"/>
    <w:rPr>
      <w:rFonts w:ascii="Cambria" w:hAnsi="Cambria" w:cs="Times New Roman"/>
      <w:i/>
      <w:sz w:val="20"/>
    </w:rPr>
  </w:style>
  <w:style w:type="paragraph" w:customStyle="1" w:styleId="TableNotes0">
    <w:name w:val="TableNotes+0"/>
    <w:basedOn w:val="Normal"/>
    <w:uiPriority w:val="99"/>
    <w:rsid w:val="00187AEC"/>
    <w:pPr>
      <w:keepNext/>
      <w:keepLines/>
      <w:spacing w:before="0"/>
    </w:pPr>
    <w:rPr>
      <w:rFonts w:cs="Calibri"/>
      <w:szCs w:val="18"/>
      <w:lang w:val="en-GB"/>
    </w:rPr>
  </w:style>
  <w:style w:type="table" w:customStyle="1" w:styleId="LightShading1">
    <w:name w:val="Light Shading1"/>
    <w:aliases w:val="Report table"/>
    <w:basedOn w:val="TableNormal"/>
    <w:uiPriority w:val="99"/>
    <w:rsid w:val="00187AEC"/>
    <w:rPr>
      <w:rFonts w:ascii="Calibri" w:hAnsi="Calibri"/>
      <w:color w:val="000000"/>
    </w:rPr>
    <w:tblPr>
      <w:tblStyleRowBandSize w:val="1"/>
      <w:tblStyleColBandSize w:val="1"/>
      <w:tblBorders>
        <w:top w:val="single" w:sz="8" w:space="0" w:color="000000"/>
        <w:bottom w:val="single" w:sz="8" w:space="0" w:color="000000"/>
      </w:tblBorders>
    </w:tblPr>
    <w:trPr>
      <w:cantSplit/>
    </w:trPr>
    <w:tblStylePr w:type="firstRow">
      <w:pPr>
        <w:spacing w:before="0" w:after="0"/>
      </w:pPr>
      <w:rPr>
        <w:rFonts w:ascii="Calibri" w:hAnsi="Calibri" w:cs="Times New Roman"/>
        <w:b/>
        <w:bCs/>
        <w:sz w:val="20"/>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Notes">
    <w:name w:val="Notes"/>
    <w:basedOn w:val="Normal"/>
    <w:link w:val="NotesChar"/>
    <w:uiPriority w:val="99"/>
    <w:rsid w:val="00187AEC"/>
    <w:pPr>
      <w:spacing w:before="0"/>
    </w:pPr>
    <w:rPr>
      <w:sz w:val="16"/>
      <w:szCs w:val="16"/>
      <w:lang w:val="en-GB"/>
    </w:rPr>
  </w:style>
  <w:style w:type="character" w:customStyle="1" w:styleId="NotesChar">
    <w:name w:val="Notes Char"/>
    <w:link w:val="Notes"/>
    <w:uiPriority w:val="99"/>
    <w:locked/>
    <w:rsid w:val="00187AEC"/>
    <w:rPr>
      <w:rFonts w:ascii="Arial" w:hAnsi="Arial" w:cs="Arial"/>
      <w:sz w:val="16"/>
      <w:szCs w:val="16"/>
      <w:lang w:val="en-GB" w:eastAsia="en-US"/>
    </w:rPr>
  </w:style>
  <w:style w:type="paragraph" w:customStyle="1" w:styleId="Tabletext">
    <w:name w:val="Table text"/>
    <w:basedOn w:val="Normal"/>
    <w:link w:val="TabletextChar"/>
    <w:uiPriority w:val="99"/>
    <w:rsid w:val="00187AEC"/>
    <w:pPr>
      <w:spacing w:before="0"/>
    </w:pPr>
    <w:rPr>
      <w:rFonts w:ascii="Microsoft Sans Serif" w:hAnsi="Microsoft Sans Serif" w:cs="Microsoft Sans Serif"/>
      <w:szCs w:val="20"/>
      <w:lang w:val="en-GB"/>
    </w:rPr>
  </w:style>
  <w:style w:type="character" w:customStyle="1" w:styleId="TabletextChar">
    <w:name w:val="Table text Char"/>
    <w:link w:val="Tabletext"/>
    <w:uiPriority w:val="99"/>
    <w:locked/>
    <w:rsid w:val="00187AEC"/>
    <w:rPr>
      <w:rFonts w:ascii="Microsoft Sans Serif" w:hAnsi="Microsoft Sans Serif" w:cs="Microsoft Sans Serif"/>
      <w:lang w:val="en-GB" w:eastAsia="en-US"/>
    </w:rPr>
  </w:style>
  <w:style w:type="paragraph" w:styleId="BodyTextIndent">
    <w:name w:val="Body Text Indent"/>
    <w:basedOn w:val="Normal"/>
    <w:link w:val="BodyTextIndentChar"/>
    <w:uiPriority w:val="99"/>
    <w:rsid w:val="00187AEC"/>
    <w:pPr>
      <w:spacing w:before="0"/>
    </w:pPr>
    <w:rPr>
      <w:rFonts w:ascii="Times" w:hAnsi="Times"/>
      <w:szCs w:val="20"/>
      <w:lang w:val="en-US"/>
    </w:rPr>
  </w:style>
  <w:style w:type="character" w:customStyle="1" w:styleId="BodyTextIndentChar">
    <w:name w:val="Body Text Indent Char"/>
    <w:link w:val="BodyTextIndent"/>
    <w:uiPriority w:val="99"/>
    <w:rsid w:val="00187AEC"/>
    <w:rPr>
      <w:rFonts w:ascii="Times" w:hAnsi="Times" w:cs="Arial"/>
      <w:lang w:val="en-US" w:eastAsia="en-US"/>
    </w:rPr>
  </w:style>
  <w:style w:type="paragraph" w:customStyle="1" w:styleId="Tablenotes1">
    <w:name w:val="Table notes"/>
    <w:basedOn w:val="Notes"/>
    <w:link w:val="TablenotesChar"/>
    <w:rsid w:val="00187AEC"/>
    <w:rPr>
      <w:sz w:val="20"/>
      <w:szCs w:val="20"/>
    </w:rPr>
  </w:style>
  <w:style w:type="character" w:customStyle="1" w:styleId="TablenotesChar">
    <w:name w:val="Table notes Char"/>
    <w:link w:val="Tablenotes1"/>
    <w:rsid w:val="00187AEC"/>
    <w:rPr>
      <w:rFonts w:ascii="Arial" w:hAnsi="Arial" w:cs="Arial"/>
      <w:lang w:val="en-GB" w:eastAsia="en-US"/>
    </w:rPr>
  </w:style>
  <w:style w:type="paragraph" w:customStyle="1" w:styleId="TableNumbers">
    <w:name w:val="Table Numbers"/>
    <w:basedOn w:val="Normal"/>
    <w:rsid w:val="00187AEC"/>
    <w:pPr>
      <w:spacing w:before="0"/>
      <w:jc w:val="center"/>
    </w:pPr>
    <w:rPr>
      <w:rFonts w:cs="Times New Roman"/>
      <w:szCs w:val="22"/>
      <w:lang w:val="en-GB" w:eastAsia="en-AU"/>
    </w:rPr>
  </w:style>
  <w:style w:type="paragraph" w:customStyle="1" w:styleId="tabletext0">
    <w:name w:val="table text"/>
    <w:basedOn w:val="TableNumbers"/>
    <w:qFormat/>
    <w:rsid w:val="00187AEC"/>
    <w:pPr>
      <w:keepNext/>
      <w:jc w:val="left"/>
    </w:pPr>
    <w:rPr>
      <w:rFonts w:cs="Arial"/>
      <w:color w:val="000000"/>
      <w:szCs w:val="20"/>
    </w:rPr>
  </w:style>
  <w:style w:type="paragraph" w:customStyle="1" w:styleId="tablenotes2">
    <w:name w:val="table notes"/>
    <w:basedOn w:val="BodyText2"/>
    <w:qFormat/>
    <w:rsid w:val="00187AEC"/>
    <w:pPr>
      <w:widowControl w:val="0"/>
      <w:spacing w:after="0" w:line="240" w:lineRule="auto"/>
    </w:pPr>
    <w:rPr>
      <w:rFonts w:cs="Times New Roman"/>
      <w:snapToGrid w:val="0"/>
      <w:szCs w:val="20"/>
    </w:rPr>
  </w:style>
  <w:style w:type="paragraph" w:styleId="BodyText2">
    <w:name w:val="Body Text 2"/>
    <w:basedOn w:val="Normal"/>
    <w:link w:val="BodyText2Char"/>
    <w:uiPriority w:val="99"/>
    <w:semiHidden/>
    <w:unhideWhenUsed/>
    <w:rsid w:val="00187AEC"/>
    <w:pPr>
      <w:spacing w:before="0" w:line="480" w:lineRule="auto"/>
    </w:pPr>
    <w:rPr>
      <w:szCs w:val="22"/>
      <w:lang w:val="en-GB"/>
    </w:rPr>
  </w:style>
  <w:style w:type="character" w:customStyle="1" w:styleId="BodyText2Char">
    <w:name w:val="Body Text 2 Char"/>
    <w:link w:val="BodyText2"/>
    <w:uiPriority w:val="99"/>
    <w:semiHidden/>
    <w:rsid w:val="00187AEC"/>
    <w:rPr>
      <w:rFonts w:ascii="Arial" w:hAnsi="Arial" w:cs="Arial"/>
      <w:szCs w:val="22"/>
      <w:lang w:val="en-GB" w:eastAsia="en-US"/>
    </w:rPr>
  </w:style>
  <w:style w:type="character" w:customStyle="1" w:styleId="il">
    <w:name w:val="il"/>
    <w:rsid w:val="00187AEC"/>
  </w:style>
  <w:style w:type="paragraph" w:styleId="TOC4">
    <w:name w:val="toc 4"/>
    <w:basedOn w:val="Normal"/>
    <w:next w:val="Normal"/>
    <w:autoRedefine/>
    <w:uiPriority w:val="39"/>
    <w:unhideWhenUsed/>
    <w:rsid w:val="00FF45AB"/>
    <w:pPr>
      <w:tabs>
        <w:tab w:val="clear" w:pos="357"/>
      </w:tabs>
      <w:spacing w:before="0" w:after="0"/>
      <w:ind w:left="720"/>
    </w:pPr>
    <w:rPr>
      <w:rFonts w:asciiTheme="minorHAnsi" w:hAnsiTheme="minorHAnsi"/>
      <w:sz w:val="18"/>
      <w:szCs w:val="18"/>
    </w:rPr>
  </w:style>
  <w:style w:type="paragraph" w:styleId="TOC5">
    <w:name w:val="toc 5"/>
    <w:basedOn w:val="Normal"/>
    <w:next w:val="Normal"/>
    <w:autoRedefine/>
    <w:uiPriority w:val="39"/>
    <w:unhideWhenUsed/>
    <w:rsid w:val="00FF45AB"/>
    <w:pPr>
      <w:tabs>
        <w:tab w:val="clear" w:pos="357"/>
      </w:tabs>
      <w:spacing w:before="0" w:after="0"/>
      <w:ind w:left="960"/>
    </w:pPr>
    <w:rPr>
      <w:rFonts w:asciiTheme="minorHAnsi" w:hAnsiTheme="minorHAnsi"/>
      <w:sz w:val="18"/>
      <w:szCs w:val="18"/>
    </w:rPr>
  </w:style>
  <w:style w:type="paragraph" w:styleId="TOC6">
    <w:name w:val="toc 6"/>
    <w:basedOn w:val="Normal"/>
    <w:next w:val="Normal"/>
    <w:autoRedefine/>
    <w:uiPriority w:val="39"/>
    <w:unhideWhenUsed/>
    <w:rsid w:val="00FF45AB"/>
    <w:pPr>
      <w:tabs>
        <w:tab w:val="clear" w:pos="357"/>
      </w:tabs>
      <w:spacing w:before="0" w:after="0"/>
      <w:ind w:left="1200"/>
    </w:pPr>
    <w:rPr>
      <w:rFonts w:asciiTheme="minorHAnsi" w:hAnsiTheme="minorHAnsi"/>
      <w:sz w:val="18"/>
      <w:szCs w:val="18"/>
    </w:rPr>
  </w:style>
  <w:style w:type="paragraph" w:styleId="TOC7">
    <w:name w:val="toc 7"/>
    <w:basedOn w:val="Normal"/>
    <w:next w:val="Normal"/>
    <w:autoRedefine/>
    <w:uiPriority w:val="39"/>
    <w:unhideWhenUsed/>
    <w:rsid w:val="00FF45AB"/>
    <w:pPr>
      <w:tabs>
        <w:tab w:val="clear" w:pos="357"/>
      </w:tabs>
      <w:spacing w:before="0" w:after="0"/>
      <w:ind w:left="1440"/>
    </w:pPr>
    <w:rPr>
      <w:rFonts w:asciiTheme="minorHAnsi" w:hAnsiTheme="minorHAnsi"/>
      <w:sz w:val="18"/>
      <w:szCs w:val="18"/>
    </w:rPr>
  </w:style>
  <w:style w:type="paragraph" w:styleId="TOC8">
    <w:name w:val="toc 8"/>
    <w:basedOn w:val="Normal"/>
    <w:next w:val="Normal"/>
    <w:autoRedefine/>
    <w:uiPriority w:val="39"/>
    <w:unhideWhenUsed/>
    <w:rsid w:val="00FF45AB"/>
    <w:pPr>
      <w:tabs>
        <w:tab w:val="clear" w:pos="357"/>
      </w:tabs>
      <w:spacing w:before="0" w:after="0"/>
      <w:ind w:left="1680"/>
    </w:pPr>
    <w:rPr>
      <w:rFonts w:asciiTheme="minorHAnsi" w:hAnsiTheme="minorHAnsi"/>
      <w:sz w:val="18"/>
      <w:szCs w:val="18"/>
    </w:rPr>
  </w:style>
  <w:style w:type="paragraph" w:styleId="TOC9">
    <w:name w:val="toc 9"/>
    <w:basedOn w:val="Normal"/>
    <w:next w:val="Normal"/>
    <w:autoRedefine/>
    <w:uiPriority w:val="39"/>
    <w:unhideWhenUsed/>
    <w:rsid w:val="00FF45AB"/>
    <w:pPr>
      <w:tabs>
        <w:tab w:val="clear" w:pos="357"/>
      </w:tabs>
      <w:spacing w:before="0" w:after="0"/>
      <w:ind w:left="1920"/>
    </w:pPr>
    <w:rPr>
      <w:rFonts w:asciiTheme="minorHAnsi" w:hAnsiTheme="minorHAnsi"/>
      <w:sz w:val="18"/>
      <w:szCs w:val="18"/>
    </w:rPr>
  </w:style>
  <w:style w:type="character" w:customStyle="1" w:styleId="normalchar">
    <w:name w:val="normal_char"/>
    <w:rsid w:val="00D62794"/>
    <w:rPr>
      <w:color w:val="auto"/>
    </w:rPr>
  </w:style>
  <w:style w:type="paragraph" w:customStyle="1" w:styleId="paragraphsub">
    <w:name w:val="paragraph(sub)"/>
    <w:aliases w:val="aa"/>
    <w:basedOn w:val="Normal"/>
    <w:uiPriority w:val="99"/>
    <w:rsid w:val="00255904"/>
    <w:pPr>
      <w:tabs>
        <w:tab w:val="clear" w:pos="357"/>
        <w:tab w:val="right" w:pos="1985"/>
      </w:tabs>
      <w:spacing w:before="40" w:after="0"/>
      <w:ind w:left="2098" w:hanging="2098"/>
    </w:pPr>
    <w:rPr>
      <w:rFonts w:cs="Times New Roman"/>
      <w:sz w:val="22"/>
      <w:szCs w:val="20"/>
      <w:lang w:eastAsia="en-AU"/>
    </w:rPr>
  </w:style>
  <w:style w:type="paragraph" w:customStyle="1" w:styleId="paragraph">
    <w:name w:val="paragraph"/>
    <w:aliases w:val="a"/>
    <w:basedOn w:val="Normal"/>
    <w:link w:val="paragraphChar"/>
    <w:rsid w:val="00255904"/>
    <w:pPr>
      <w:tabs>
        <w:tab w:val="clear" w:pos="357"/>
        <w:tab w:val="right" w:pos="1531"/>
      </w:tabs>
      <w:spacing w:before="40" w:after="0"/>
      <w:ind w:left="1644" w:hanging="1644"/>
    </w:pPr>
    <w:rPr>
      <w:rFonts w:cs="Times New Roman"/>
      <w:sz w:val="22"/>
      <w:szCs w:val="20"/>
      <w:lang w:eastAsia="en-AU"/>
    </w:rPr>
  </w:style>
  <w:style w:type="character" w:customStyle="1" w:styleId="paragraphChar">
    <w:name w:val="paragraph Char"/>
    <w:aliases w:val="a Char"/>
    <w:link w:val="paragraph"/>
    <w:rsid w:val="00255904"/>
    <w:rPr>
      <w:sz w:val="22"/>
    </w:rPr>
  </w:style>
  <w:style w:type="paragraph" w:customStyle="1" w:styleId="Apples-Footnote">
    <w:name w:val="Apples - Footnote"/>
    <w:basedOn w:val="FootnoteText"/>
    <w:link w:val="Apples-FootnoteChar"/>
    <w:rsid w:val="00A60A84"/>
    <w:pPr>
      <w:keepLines/>
      <w:tabs>
        <w:tab w:val="clear" w:pos="357"/>
      </w:tabs>
      <w:spacing w:before="0" w:after="60"/>
      <w:ind w:left="0" w:firstLine="720"/>
      <w:jc w:val="both"/>
    </w:pPr>
    <w:rPr>
      <w:rFonts w:cs="Times New Roman"/>
      <w:sz w:val="20"/>
      <w:lang w:eastAsia="en-AU"/>
    </w:rPr>
  </w:style>
  <w:style w:type="character" w:customStyle="1" w:styleId="Apples-FootnoteChar">
    <w:name w:val="Apples - Footnote Char"/>
    <w:link w:val="Apples-Footnote"/>
    <w:rsid w:val="00A60A84"/>
  </w:style>
  <w:style w:type="paragraph" w:customStyle="1" w:styleId="CharChar6CharCharCharCharCharChar">
    <w:name w:val="Char Char6 Char Char Char Char Char Char"/>
    <w:aliases w:val="Char6 Char Char Char Char Char Char Char"/>
    <w:basedOn w:val="Normal"/>
    <w:link w:val="FootnoteReference"/>
    <w:uiPriority w:val="31"/>
    <w:rsid w:val="00A60A84"/>
    <w:pPr>
      <w:tabs>
        <w:tab w:val="clear" w:pos="357"/>
      </w:tabs>
      <w:spacing w:before="0" w:after="0" w:line="360" w:lineRule="auto"/>
      <w:jc w:val="center"/>
    </w:pPr>
    <w:rPr>
      <w:rFonts w:cs="Times New Roman"/>
      <w:sz w:val="20"/>
      <w:szCs w:val="20"/>
      <w:vertAlign w:val="superscript"/>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326">
      <w:bodyDiv w:val="1"/>
      <w:marLeft w:val="0"/>
      <w:marRight w:val="0"/>
      <w:marTop w:val="0"/>
      <w:marBottom w:val="0"/>
      <w:divBdr>
        <w:top w:val="none" w:sz="0" w:space="0" w:color="auto"/>
        <w:left w:val="none" w:sz="0" w:space="0" w:color="auto"/>
        <w:bottom w:val="none" w:sz="0" w:space="0" w:color="auto"/>
        <w:right w:val="none" w:sz="0" w:space="0" w:color="auto"/>
      </w:divBdr>
    </w:div>
    <w:div w:id="12390698">
      <w:bodyDiv w:val="1"/>
      <w:marLeft w:val="0"/>
      <w:marRight w:val="0"/>
      <w:marTop w:val="0"/>
      <w:marBottom w:val="0"/>
      <w:divBdr>
        <w:top w:val="none" w:sz="0" w:space="0" w:color="auto"/>
        <w:left w:val="none" w:sz="0" w:space="0" w:color="auto"/>
        <w:bottom w:val="none" w:sz="0" w:space="0" w:color="auto"/>
        <w:right w:val="none" w:sz="0" w:space="0" w:color="auto"/>
      </w:divBdr>
    </w:div>
    <w:div w:id="28998337">
      <w:bodyDiv w:val="1"/>
      <w:marLeft w:val="0"/>
      <w:marRight w:val="0"/>
      <w:marTop w:val="0"/>
      <w:marBottom w:val="0"/>
      <w:divBdr>
        <w:top w:val="none" w:sz="0" w:space="0" w:color="auto"/>
        <w:left w:val="none" w:sz="0" w:space="0" w:color="auto"/>
        <w:bottom w:val="none" w:sz="0" w:space="0" w:color="auto"/>
        <w:right w:val="none" w:sz="0" w:space="0" w:color="auto"/>
      </w:divBdr>
    </w:div>
    <w:div w:id="44063559">
      <w:bodyDiv w:val="1"/>
      <w:marLeft w:val="0"/>
      <w:marRight w:val="0"/>
      <w:marTop w:val="0"/>
      <w:marBottom w:val="0"/>
      <w:divBdr>
        <w:top w:val="none" w:sz="0" w:space="0" w:color="auto"/>
        <w:left w:val="none" w:sz="0" w:space="0" w:color="auto"/>
        <w:bottom w:val="none" w:sz="0" w:space="0" w:color="auto"/>
        <w:right w:val="none" w:sz="0" w:space="0" w:color="auto"/>
      </w:divBdr>
    </w:div>
    <w:div w:id="86729690">
      <w:bodyDiv w:val="1"/>
      <w:marLeft w:val="0"/>
      <w:marRight w:val="0"/>
      <w:marTop w:val="0"/>
      <w:marBottom w:val="0"/>
      <w:divBdr>
        <w:top w:val="none" w:sz="0" w:space="0" w:color="auto"/>
        <w:left w:val="none" w:sz="0" w:space="0" w:color="auto"/>
        <w:bottom w:val="none" w:sz="0" w:space="0" w:color="auto"/>
        <w:right w:val="none" w:sz="0" w:space="0" w:color="auto"/>
      </w:divBdr>
    </w:div>
    <w:div w:id="89477196">
      <w:bodyDiv w:val="1"/>
      <w:marLeft w:val="0"/>
      <w:marRight w:val="0"/>
      <w:marTop w:val="0"/>
      <w:marBottom w:val="0"/>
      <w:divBdr>
        <w:top w:val="none" w:sz="0" w:space="0" w:color="auto"/>
        <w:left w:val="none" w:sz="0" w:space="0" w:color="auto"/>
        <w:bottom w:val="none" w:sz="0" w:space="0" w:color="auto"/>
        <w:right w:val="none" w:sz="0" w:space="0" w:color="auto"/>
      </w:divBdr>
    </w:div>
    <w:div w:id="141118847">
      <w:bodyDiv w:val="1"/>
      <w:marLeft w:val="0"/>
      <w:marRight w:val="0"/>
      <w:marTop w:val="0"/>
      <w:marBottom w:val="0"/>
      <w:divBdr>
        <w:top w:val="none" w:sz="0" w:space="0" w:color="auto"/>
        <w:left w:val="none" w:sz="0" w:space="0" w:color="auto"/>
        <w:bottom w:val="none" w:sz="0" w:space="0" w:color="auto"/>
        <w:right w:val="none" w:sz="0" w:space="0" w:color="auto"/>
      </w:divBdr>
    </w:div>
    <w:div w:id="166557203">
      <w:bodyDiv w:val="1"/>
      <w:marLeft w:val="0"/>
      <w:marRight w:val="0"/>
      <w:marTop w:val="0"/>
      <w:marBottom w:val="0"/>
      <w:divBdr>
        <w:top w:val="none" w:sz="0" w:space="0" w:color="auto"/>
        <w:left w:val="none" w:sz="0" w:space="0" w:color="auto"/>
        <w:bottom w:val="none" w:sz="0" w:space="0" w:color="auto"/>
        <w:right w:val="none" w:sz="0" w:space="0" w:color="auto"/>
      </w:divBdr>
    </w:div>
    <w:div w:id="254940717">
      <w:bodyDiv w:val="1"/>
      <w:marLeft w:val="0"/>
      <w:marRight w:val="0"/>
      <w:marTop w:val="0"/>
      <w:marBottom w:val="0"/>
      <w:divBdr>
        <w:top w:val="none" w:sz="0" w:space="0" w:color="auto"/>
        <w:left w:val="none" w:sz="0" w:space="0" w:color="auto"/>
        <w:bottom w:val="none" w:sz="0" w:space="0" w:color="auto"/>
        <w:right w:val="none" w:sz="0" w:space="0" w:color="auto"/>
      </w:divBdr>
    </w:div>
    <w:div w:id="288820638">
      <w:bodyDiv w:val="1"/>
      <w:marLeft w:val="0"/>
      <w:marRight w:val="0"/>
      <w:marTop w:val="0"/>
      <w:marBottom w:val="0"/>
      <w:divBdr>
        <w:top w:val="none" w:sz="0" w:space="0" w:color="auto"/>
        <w:left w:val="none" w:sz="0" w:space="0" w:color="auto"/>
        <w:bottom w:val="none" w:sz="0" w:space="0" w:color="auto"/>
        <w:right w:val="none" w:sz="0" w:space="0" w:color="auto"/>
      </w:divBdr>
    </w:div>
    <w:div w:id="376587064">
      <w:bodyDiv w:val="1"/>
      <w:marLeft w:val="0"/>
      <w:marRight w:val="0"/>
      <w:marTop w:val="0"/>
      <w:marBottom w:val="0"/>
      <w:divBdr>
        <w:top w:val="none" w:sz="0" w:space="0" w:color="auto"/>
        <w:left w:val="none" w:sz="0" w:space="0" w:color="auto"/>
        <w:bottom w:val="none" w:sz="0" w:space="0" w:color="auto"/>
        <w:right w:val="none" w:sz="0" w:space="0" w:color="auto"/>
      </w:divBdr>
    </w:div>
    <w:div w:id="387917711">
      <w:bodyDiv w:val="1"/>
      <w:marLeft w:val="0"/>
      <w:marRight w:val="0"/>
      <w:marTop w:val="0"/>
      <w:marBottom w:val="0"/>
      <w:divBdr>
        <w:top w:val="none" w:sz="0" w:space="0" w:color="auto"/>
        <w:left w:val="none" w:sz="0" w:space="0" w:color="auto"/>
        <w:bottom w:val="none" w:sz="0" w:space="0" w:color="auto"/>
        <w:right w:val="none" w:sz="0" w:space="0" w:color="auto"/>
      </w:divBdr>
    </w:div>
    <w:div w:id="403646664">
      <w:bodyDiv w:val="1"/>
      <w:marLeft w:val="0"/>
      <w:marRight w:val="0"/>
      <w:marTop w:val="0"/>
      <w:marBottom w:val="0"/>
      <w:divBdr>
        <w:top w:val="none" w:sz="0" w:space="0" w:color="auto"/>
        <w:left w:val="none" w:sz="0" w:space="0" w:color="auto"/>
        <w:bottom w:val="none" w:sz="0" w:space="0" w:color="auto"/>
        <w:right w:val="none" w:sz="0" w:space="0" w:color="auto"/>
      </w:divBdr>
    </w:div>
    <w:div w:id="406919992">
      <w:bodyDiv w:val="1"/>
      <w:marLeft w:val="0"/>
      <w:marRight w:val="0"/>
      <w:marTop w:val="0"/>
      <w:marBottom w:val="0"/>
      <w:divBdr>
        <w:top w:val="none" w:sz="0" w:space="0" w:color="auto"/>
        <w:left w:val="none" w:sz="0" w:space="0" w:color="auto"/>
        <w:bottom w:val="none" w:sz="0" w:space="0" w:color="auto"/>
        <w:right w:val="none" w:sz="0" w:space="0" w:color="auto"/>
      </w:divBdr>
    </w:div>
    <w:div w:id="414743796">
      <w:bodyDiv w:val="1"/>
      <w:marLeft w:val="0"/>
      <w:marRight w:val="0"/>
      <w:marTop w:val="0"/>
      <w:marBottom w:val="0"/>
      <w:divBdr>
        <w:top w:val="none" w:sz="0" w:space="0" w:color="auto"/>
        <w:left w:val="none" w:sz="0" w:space="0" w:color="auto"/>
        <w:bottom w:val="none" w:sz="0" w:space="0" w:color="auto"/>
        <w:right w:val="none" w:sz="0" w:space="0" w:color="auto"/>
      </w:divBdr>
    </w:div>
    <w:div w:id="419715576">
      <w:bodyDiv w:val="1"/>
      <w:marLeft w:val="0"/>
      <w:marRight w:val="0"/>
      <w:marTop w:val="0"/>
      <w:marBottom w:val="0"/>
      <w:divBdr>
        <w:top w:val="none" w:sz="0" w:space="0" w:color="auto"/>
        <w:left w:val="none" w:sz="0" w:space="0" w:color="auto"/>
        <w:bottom w:val="none" w:sz="0" w:space="0" w:color="auto"/>
        <w:right w:val="none" w:sz="0" w:space="0" w:color="auto"/>
      </w:divBdr>
    </w:div>
    <w:div w:id="443840614">
      <w:bodyDiv w:val="1"/>
      <w:marLeft w:val="0"/>
      <w:marRight w:val="0"/>
      <w:marTop w:val="0"/>
      <w:marBottom w:val="0"/>
      <w:divBdr>
        <w:top w:val="none" w:sz="0" w:space="0" w:color="auto"/>
        <w:left w:val="none" w:sz="0" w:space="0" w:color="auto"/>
        <w:bottom w:val="none" w:sz="0" w:space="0" w:color="auto"/>
        <w:right w:val="none" w:sz="0" w:space="0" w:color="auto"/>
      </w:divBdr>
    </w:div>
    <w:div w:id="454562114">
      <w:bodyDiv w:val="1"/>
      <w:marLeft w:val="0"/>
      <w:marRight w:val="0"/>
      <w:marTop w:val="0"/>
      <w:marBottom w:val="0"/>
      <w:divBdr>
        <w:top w:val="none" w:sz="0" w:space="0" w:color="auto"/>
        <w:left w:val="none" w:sz="0" w:space="0" w:color="auto"/>
        <w:bottom w:val="none" w:sz="0" w:space="0" w:color="auto"/>
        <w:right w:val="none" w:sz="0" w:space="0" w:color="auto"/>
      </w:divBdr>
    </w:div>
    <w:div w:id="543903917">
      <w:bodyDiv w:val="1"/>
      <w:marLeft w:val="0"/>
      <w:marRight w:val="0"/>
      <w:marTop w:val="0"/>
      <w:marBottom w:val="0"/>
      <w:divBdr>
        <w:top w:val="none" w:sz="0" w:space="0" w:color="auto"/>
        <w:left w:val="none" w:sz="0" w:space="0" w:color="auto"/>
        <w:bottom w:val="none" w:sz="0" w:space="0" w:color="auto"/>
        <w:right w:val="none" w:sz="0" w:space="0" w:color="auto"/>
      </w:divBdr>
    </w:div>
    <w:div w:id="546571793">
      <w:bodyDiv w:val="1"/>
      <w:marLeft w:val="0"/>
      <w:marRight w:val="0"/>
      <w:marTop w:val="0"/>
      <w:marBottom w:val="0"/>
      <w:divBdr>
        <w:top w:val="none" w:sz="0" w:space="0" w:color="auto"/>
        <w:left w:val="none" w:sz="0" w:space="0" w:color="auto"/>
        <w:bottom w:val="none" w:sz="0" w:space="0" w:color="auto"/>
        <w:right w:val="none" w:sz="0" w:space="0" w:color="auto"/>
      </w:divBdr>
    </w:div>
    <w:div w:id="557519323">
      <w:bodyDiv w:val="1"/>
      <w:marLeft w:val="0"/>
      <w:marRight w:val="0"/>
      <w:marTop w:val="0"/>
      <w:marBottom w:val="0"/>
      <w:divBdr>
        <w:top w:val="none" w:sz="0" w:space="0" w:color="auto"/>
        <w:left w:val="none" w:sz="0" w:space="0" w:color="auto"/>
        <w:bottom w:val="none" w:sz="0" w:space="0" w:color="auto"/>
        <w:right w:val="none" w:sz="0" w:space="0" w:color="auto"/>
      </w:divBdr>
    </w:div>
    <w:div w:id="592281206">
      <w:bodyDiv w:val="1"/>
      <w:marLeft w:val="0"/>
      <w:marRight w:val="0"/>
      <w:marTop w:val="0"/>
      <w:marBottom w:val="0"/>
      <w:divBdr>
        <w:top w:val="none" w:sz="0" w:space="0" w:color="auto"/>
        <w:left w:val="none" w:sz="0" w:space="0" w:color="auto"/>
        <w:bottom w:val="none" w:sz="0" w:space="0" w:color="auto"/>
        <w:right w:val="none" w:sz="0" w:space="0" w:color="auto"/>
      </w:divBdr>
    </w:div>
    <w:div w:id="649407421">
      <w:bodyDiv w:val="1"/>
      <w:marLeft w:val="0"/>
      <w:marRight w:val="0"/>
      <w:marTop w:val="0"/>
      <w:marBottom w:val="0"/>
      <w:divBdr>
        <w:top w:val="none" w:sz="0" w:space="0" w:color="auto"/>
        <w:left w:val="none" w:sz="0" w:space="0" w:color="auto"/>
        <w:bottom w:val="none" w:sz="0" w:space="0" w:color="auto"/>
        <w:right w:val="none" w:sz="0" w:space="0" w:color="auto"/>
      </w:divBdr>
    </w:div>
    <w:div w:id="658534073">
      <w:bodyDiv w:val="1"/>
      <w:marLeft w:val="0"/>
      <w:marRight w:val="0"/>
      <w:marTop w:val="0"/>
      <w:marBottom w:val="0"/>
      <w:divBdr>
        <w:top w:val="none" w:sz="0" w:space="0" w:color="auto"/>
        <w:left w:val="none" w:sz="0" w:space="0" w:color="auto"/>
        <w:bottom w:val="none" w:sz="0" w:space="0" w:color="auto"/>
        <w:right w:val="none" w:sz="0" w:space="0" w:color="auto"/>
      </w:divBdr>
    </w:div>
    <w:div w:id="666984872">
      <w:bodyDiv w:val="1"/>
      <w:marLeft w:val="0"/>
      <w:marRight w:val="0"/>
      <w:marTop w:val="0"/>
      <w:marBottom w:val="0"/>
      <w:divBdr>
        <w:top w:val="none" w:sz="0" w:space="0" w:color="auto"/>
        <w:left w:val="none" w:sz="0" w:space="0" w:color="auto"/>
        <w:bottom w:val="none" w:sz="0" w:space="0" w:color="auto"/>
        <w:right w:val="none" w:sz="0" w:space="0" w:color="auto"/>
      </w:divBdr>
    </w:div>
    <w:div w:id="703364872">
      <w:bodyDiv w:val="1"/>
      <w:marLeft w:val="0"/>
      <w:marRight w:val="0"/>
      <w:marTop w:val="0"/>
      <w:marBottom w:val="0"/>
      <w:divBdr>
        <w:top w:val="none" w:sz="0" w:space="0" w:color="auto"/>
        <w:left w:val="none" w:sz="0" w:space="0" w:color="auto"/>
        <w:bottom w:val="none" w:sz="0" w:space="0" w:color="auto"/>
        <w:right w:val="none" w:sz="0" w:space="0" w:color="auto"/>
      </w:divBdr>
    </w:div>
    <w:div w:id="726337157">
      <w:bodyDiv w:val="1"/>
      <w:marLeft w:val="0"/>
      <w:marRight w:val="0"/>
      <w:marTop w:val="0"/>
      <w:marBottom w:val="0"/>
      <w:divBdr>
        <w:top w:val="none" w:sz="0" w:space="0" w:color="auto"/>
        <w:left w:val="none" w:sz="0" w:space="0" w:color="auto"/>
        <w:bottom w:val="none" w:sz="0" w:space="0" w:color="auto"/>
        <w:right w:val="none" w:sz="0" w:space="0" w:color="auto"/>
      </w:divBdr>
    </w:div>
    <w:div w:id="765999992">
      <w:bodyDiv w:val="1"/>
      <w:marLeft w:val="0"/>
      <w:marRight w:val="0"/>
      <w:marTop w:val="0"/>
      <w:marBottom w:val="0"/>
      <w:divBdr>
        <w:top w:val="none" w:sz="0" w:space="0" w:color="auto"/>
        <w:left w:val="none" w:sz="0" w:space="0" w:color="auto"/>
        <w:bottom w:val="none" w:sz="0" w:space="0" w:color="auto"/>
        <w:right w:val="none" w:sz="0" w:space="0" w:color="auto"/>
      </w:divBdr>
    </w:div>
    <w:div w:id="807553146">
      <w:bodyDiv w:val="1"/>
      <w:marLeft w:val="0"/>
      <w:marRight w:val="0"/>
      <w:marTop w:val="0"/>
      <w:marBottom w:val="0"/>
      <w:divBdr>
        <w:top w:val="none" w:sz="0" w:space="0" w:color="auto"/>
        <w:left w:val="none" w:sz="0" w:space="0" w:color="auto"/>
        <w:bottom w:val="none" w:sz="0" w:space="0" w:color="auto"/>
        <w:right w:val="none" w:sz="0" w:space="0" w:color="auto"/>
      </w:divBdr>
    </w:div>
    <w:div w:id="865026348">
      <w:bodyDiv w:val="1"/>
      <w:marLeft w:val="0"/>
      <w:marRight w:val="0"/>
      <w:marTop w:val="0"/>
      <w:marBottom w:val="0"/>
      <w:divBdr>
        <w:top w:val="none" w:sz="0" w:space="0" w:color="auto"/>
        <w:left w:val="none" w:sz="0" w:space="0" w:color="auto"/>
        <w:bottom w:val="none" w:sz="0" w:space="0" w:color="auto"/>
        <w:right w:val="none" w:sz="0" w:space="0" w:color="auto"/>
      </w:divBdr>
    </w:div>
    <w:div w:id="877737209">
      <w:bodyDiv w:val="1"/>
      <w:marLeft w:val="0"/>
      <w:marRight w:val="0"/>
      <w:marTop w:val="0"/>
      <w:marBottom w:val="0"/>
      <w:divBdr>
        <w:top w:val="none" w:sz="0" w:space="0" w:color="auto"/>
        <w:left w:val="none" w:sz="0" w:space="0" w:color="auto"/>
        <w:bottom w:val="none" w:sz="0" w:space="0" w:color="auto"/>
        <w:right w:val="none" w:sz="0" w:space="0" w:color="auto"/>
      </w:divBdr>
    </w:div>
    <w:div w:id="883296987">
      <w:bodyDiv w:val="1"/>
      <w:marLeft w:val="0"/>
      <w:marRight w:val="0"/>
      <w:marTop w:val="0"/>
      <w:marBottom w:val="0"/>
      <w:divBdr>
        <w:top w:val="none" w:sz="0" w:space="0" w:color="auto"/>
        <w:left w:val="none" w:sz="0" w:space="0" w:color="auto"/>
        <w:bottom w:val="none" w:sz="0" w:space="0" w:color="auto"/>
        <w:right w:val="none" w:sz="0" w:space="0" w:color="auto"/>
      </w:divBdr>
    </w:div>
    <w:div w:id="896013907">
      <w:bodyDiv w:val="1"/>
      <w:marLeft w:val="0"/>
      <w:marRight w:val="0"/>
      <w:marTop w:val="0"/>
      <w:marBottom w:val="0"/>
      <w:divBdr>
        <w:top w:val="none" w:sz="0" w:space="0" w:color="auto"/>
        <w:left w:val="none" w:sz="0" w:space="0" w:color="auto"/>
        <w:bottom w:val="none" w:sz="0" w:space="0" w:color="auto"/>
        <w:right w:val="none" w:sz="0" w:space="0" w:color="auto"/>
      </w:divBdr>
    </w:div>
    <w:div w:id="906263721">
      <w:bodyDiv w:val="1"/>
      <w:marLeft w:val="0"/>
      <w:marRight w:val="0"/>
      <w:marTop w:val="0"/>
      <w:marBottom w:val="0"/>
      <w:divBdr>
        <w:top w:val="none" w:sz="0" w:space="0" w:color="auto"/>
        <w:left w:val="none" w:sz="0" w:space="0" w:color="auto"/>
        <w:bottom w:val="none" w:sz="0" w:space="0" w:color="auto"/>
        <w:right w:val="none" w:sz="0" w:space="0" w:color="auto"/>
      </w:divBdr>
    </w:div>
    <w:div w:id="946278277">
      <w:bodyDiv w:val="1"/>
      <w:marLeft w:val="0"/>
      <w:marRight w:val="0"/>
      <w:marTop w:val="0"/>
      <w:marBottom w:val="0"/>
      <w:divBdr>
        <w:top w:val="none" w:sz="0" w:space="0" w:color="auto"/>
        <w:left w:val="none" w:sz="0" w:space="0" w:color="auto"/>
        <w:bottom w:val="none" w:sz="0" w:space="0" w:color="auto"/>
        <w:right w:val="none" w:sz="0" w:space="0" w:color="auto"/>
      </w:divBdr>
    </w:div>
    <w:div w:id="969288088">
      <w:bodyDiv w:val="1"/>
      <w:marLeft w:val="0"/>
      <w:marRight w:val="0"/>
      <w:marTop w:val="0"/>
      <w:marBottom w:val="0"/>
      <w:divBdr>
        <w:top w:val="none" w:sz="0" w:space="0" w:color="auto"/>
        <w:left w:val="none" w:sz="0" w:space="0" w:color="auto"/>
        <w:bottom w:val="none" w:sz="0" w:space="0" w:color="auto"/>
        <w:right w:val="none" w:sz="0" w:space="0" w:color="auto"/>
      </w:divBdr>
    </w:div>
    <w:div w:id="990597474">
      <w:bodyDiv w:val="1"/>
      <w:marLeft w:val="0"/>
      <w:marRight w:val="0"/>
      <w:marTop w:val="0"/>
      <w:marBottom w:val="0"/>
      <w:divBdr>
        <w:top w:val="none" w:sz="0" w:space="0" w:color="auto"/>
        <w:left w:val="none" w:sz="0" w:space="0" w:color="auto"/>
        <w:bottom w:val="none" w:sz="0" w:space="0" w:color="auto"/>
        <w:right w:val="none" w:sz="0" w:space="0" w:color="auto"/>
      </w:divBdr>
    </w:div>
    <w:div w:id="1078021380">
      <w:bodyDiv w:val="1"/>
      <w:marLeft w:val="0"/>
      <w:marRight w:val="0"/>
      <w:marTop w:val="0"/>
      <w:marBottom w:val="0"/>
      <w:divBdr>
        <w:top w:val="none" w:sz="0" w:space="0" w:color="auto"/>
        <w:left w:val="none" w:sz="0" w:space="0" w:color="auto"/>
        <w:bottom w:val="none" w:sz="0" w:space="0" w:color="auto"/>
        <w:right w:val="none" w:sz="0" w:space="0" w:color="auto"/>
      </w:divBdr>
    </w:div>
    <w:div w:id="1098407933">
      <w:bodyDiv w:val="1"/>
      <w:marLeft w:val="0"/>
      <w:marRight w:val="0"/>
      <w:marTop w:val="0"/>
      <w:marBottom w:val="0"/>
      <w:divBdr>
        <w:top w:val="none" w:sz="0" w:space="0" w:color="auto"/>
        <w:left w:val="none" w:sz="0" w:space="0" w:color="auto"/>
        <w:bottom w:val="none" w:sz="0" w:space="0" w:color="auto"/>
        <w:right w:val="none" w:sz="0" w:space="0" w:color="auto"/>
      </w:divBdr>
    </w:div>
    <w:div w:id="1101757291">
      <w:bodyDiv w:val="1"/>
      <w:marLeft w:val="0"/>
      <w:marRight w:val="0"/>
      <w:marTop w:val="0"/>
      <w:marBottom w:val="0"/>
      <w:divBdr>
        <w:top w:val="none" w:sz="0" w:space="0" w:color="auto"/>
        <w:left w:val="none" w:sz="0" w:space="0" w:color="auto"/>
        <w:bottom w:val="none" w:sz="0" w:space="0" w:color="auto"/>
        <w:right w:val="none" w:sz="0" w:space="0" w:color="auto"/>
      </w:divBdr>
    </w:div>
    <w:div w:id="1227498926">
      <w:bodyDiv w:val="1"/>
      <w:marLeft w:val="0"/>
      <w:marRight w:val="0"/>
      <w:marTop w:val="0"/>
      <w:marBottom w:val="0"/>
      <w:divBdr>
        <w:top w:val="none" w:sz="0" w:space="0" w:color="auto"/>
        <w:left w:val="none" w:sz="0" w:space="0" w:color="auto"/>
        <w:bottom w:val="none" w:sz="0" w:space="0" w:color="auto"/>
        <w:right w:val="none" w:sz="0" w:space="0" w:color="auto"/>
      </w:divBdr>
    </w:div>
    <w:div w:id="1238172498">
      <w:bodyDiv w:val="1"/>
      <w:marLeft w:val="0"/>
      <w:marRight w:val="0"/>
      <w:marTop w:val="0"/>
      <w:marBottom w:val="0"/>
      <w:divBdr>
        <w:top w:val="none" w:sz="0" w:space="0" w:color="auto"/>
        <w:left w:val="none" w:sz="0" w:space="0" w:color="auto"/>
        <w:bottom w:val="none" w:sz="0" w:space="0" w:color="auto"/>
        <w:right w:val="none" w:sz="0" w:space="0" w:color="auto"/>
      </w:divBdr>
    </w:div>
    <w:div w:id="1243836571">
      <w:bodyDiv w:val="1"/>
      <w:marLeft w:val="0"/>
      <w:marRight w:val="0"/>
      <w:marTop w:val="0"/>
      <w:marBottom w:val="0"/>
      <w:divBdr>
        <w:top w:val="none" w:sz="0" w:space="0" w:color="auto"/>
        <w:left w:val="none" w:sz="0" w:space="0" w:color="auto"/>
        <w:bottom w:val="none" w:sz="0" w:space="0" w:color="auto"/>
        <w:right w:val="none" w:sz="0" w:space="0" w:color="auto"/>
      </w:divBdr>
    </w:div>
    <w:div w:id="1272127991">
      <w:bodyDiv w:val="1"/>
      <w:marLeft w:val="0"/>
      <w:marRight w:val="0"/>
      <w:marTop w:val="0"/>
      <w:marBottom w:val="0"/>
      <w:divBdr>
        <w:top w:val="none" w:sz="0" w:space="0" w:color="auto"/>
        <w:left w:val="none" w:sz="0" w:space="0" w:color="auto"/>
        <w:bottom w:val="none" w:sz="0" w:space="0" w:color="auto"/>
        <w:right w:val="none" w:sz="0" w:space="0" w:color="auto"/>
      </w:divBdr>
    </w:div>
    <w:div w:id="1325550289">
      <w:bodyDiv w:val="1"/>
      <w:marLeft w:val="0"/>
      <w:marRight w:val="0"/>
      <w:marTop w:val="0"/>
      <w:marBottom w:val="0"/>
      <w:divBdr>
        <w:top w:val="none" w:sz="0" w:space="0" w:color="auto"/>
        <w:left w:val="none" w:sz="0" w:space="0" w:color="auto"/>
        <w:bottom w:val="none" w:sz="0" w:space="0" w:color="auto"/>
        <w:right w:val="none" w:sz="0" w:space="0" w:color="auto"/>
      </w:divBdr>
    </w:div>
    <w:div w:id="1339432135">
      <w:bodyDiv w:val="1"/>
      <w:marLeft w:val="0"/>
      <w:marRight w:val="0"/>
      <w:marTop w:val="0"/>
      <w:marBottom w:val="0"/>
      <w:divBdr>
        <w:top w:val="none" w:sz="0" w:space="0" w:color="auto"/>
        <w:left w:val="none" w:sz="0" w:space="0" w:color="auto"/>
        <w:bottom w:val="none" w:sz="0" w:space="0" w:color="auto"/>
        <w:right w:val="none" w:sz="0" w:space="0" w:color="auto"/>
      </w:divBdr>
    </w:div>
    <w:div w:id="1350835403">
      <w:bodyDiv w:val="1"/>
      <w:marLeft w:val="0"/>
      <w:marRight w:val="0"/>
      <w:marTop w:val="0"/>
      <w:marBottom w:val="0"/>
      <w:divBdr>
        <w:top w:val="none" w:sz="0" w:space="0" w:color="auto"/>
        <w:left w:val="none" w:sz="0" w:space="0" w:color="auto"/>
        <w:bottom w:val="none" w:sz="0" w:space="0" w:color="auto"/>
        <w:right w:val="none" w:sz="0" w:space="0" w:color="auto"/>
      </w:divBdr>
    </w:div>
    <w:div w:id="1360468940">
      <w:bodyDiv w:val="1"/>
      <w:marLeft w:val="0"/>
      <w:marRight w:val="0"/>
      <w:marTop w:val="0"/>
      <w:marBottom w:val="0"/>
      <w:divBdr>
        <w:top w:val="none" w:sz="0" w:space="0" w:color="auto"/>
        <w:left w:val="none" w:sz="0" w:space="0" w:color="auto"/>
        <w:bottom w:val="none" w:sz="0" w:space="0" w:color="auto"/>
        <w:right w:val="none" w:sz="0" w:space="0" w:color="auto"/>
      </w:divBdr>
    </w:div>
    <w:div w:id="1376739087">
      <w:bodyDiv w:val="1"/>
      <w:marLeft w:val="0"/>
      <w:marRight w:val="0"/>
      <w:marTop w:val="0"/>
      <w:marBottom w:val="0"/>
      <w:divBdr>
        <w:top w:val="none" w:sz="0" w:space="0" w:color="auto"/>
        <w:left w:val="none" w:sz="0" w:space="0" w:color="auto"/>
        <w:bottom w:val="none" w:sz="0" w:space="0" w:color="auto"/>
        <w:right w:val="none" w:sz="0" w:space="0" w:color="auto"/>
      </w:divBdr>
    </w:div>
    <w:div w:id="1388844397">
      <w:bodyDiv w:val="1"/>
      <w:marLeft w:val="0"/>
      <w:marRight w:val="0"/>
      <w:marTop w:val="0"/>
      <w:marBottom w:val="0"/>
      <w:divBdr>
        <w:top w:val="none" w:sz="0" w:space="0" w:color="auto"/>
        <w:left w:val="none" w:sz="0" w:space="0" w:color="auto"/>
        <w:bottom w:val="none" w:sz="0" w:space="0" w:color="auto"/>
        <w:right w:val="none" w:sz="0" w:space="0" w:color="auto"/>
      </w:divBdr>
    </w:div>
    <w:div w:id="1524587851">
      <w:bodyDiv w:val="1"/>
      <w:marLeft w:val="0"/>
      <w:marRight w:val="0"/>
      <w:marTop w:val="0"/>
      <w:marBottom w:val="0"/>
      <w:divBdr>
        <w:top w:val="none" w:sz="0" w:space="0" w:color="auto"/>
        <w:left w:val="none" w:sz="0" w:space="0" w:color="auto"/>
        <w:bottom w:val="none" w:sz="0" w:space="0" w:color="auto"/>
        <w:right w:val="none" w:sz="0" w:space="0" w:color="auto"/>
      </w:divBdr>
    </w:div>
    <w:div w:id="1554727709">
      <w:bodyDiv w:val="1"/>
      <w:marLeft w:val="0"/>
      <w:marRight w:val="0"/>
      <w:marTop w:val="0"/>
      <w:marBottom w:val="0"/>
      <w:divBdr>
        <w:top w:val="none" w:sz="0" w:space="0" w:color="auto"/>
        <w:left w:val="none" w:sz="0" w:space="0" w:color="auto"/>
        <w:bottom w:val="none" w:sz="0" w:space="0" w:color="auto"/>
        <w:right w:val="none" w:sz="0" w:space="0" w:color="auto"/>
      </w:divBdr>
    </w:div>
    <w:div w:id="1564833056">
      <w:bodyDiv w:val="1"/>
      <w:marLeft w:val="0"/>
      <w:marRight w:val="0"/>
      <w:marTop w:val="0"/>
      <w:marBottom w:val="0"/>
      <w:divBdr>
        <w:top w:val="none" w:sz="0" w:space="0" w:color="auto"/>
        <w:left w:val="none" w:sz="0" w:space="0" w:color="auto"/>
        <w:bottom w:val="none" w:sz="0" w:space="0" w:color="auto"/>
        <w:right w:val="none" w:sz="0" w:space="0" w:color="auto"/>
      </w:divBdr>
    </w:div>
    <w:div w:id="1578906330">
      <w:bodyDiv w:val="1"/>
      <w:marLeft w:val="0"/>
      <w:marRight w:val="0"/>
      <w:marTop w:val="0"/>
      <w:marBottom w:val="0"/>
      <w:divBdr>
        <w:top w:val="none" w:sz="0" w:space="0" w:color="auto"/>
        <w:left w:val="none" w:sz="0" w:space="0" w:color="auto"/>
        <w:bottom w:val="none" w:sz="0" w:space="0" w:color="auto"/>
        <w:right w:val="none" w:sz="0" w:space="0" w:color="auto"/>
      </w:divBdr>
    </w:div>
    <w:div w:id="1586959983">
      <w:bodyDiv w:val="1"/>
      <w:marLeft w:val="0"/>
      <w:marRight w:val="0"/>
      <w:marTop w:val="0"/>
      <w:marBottom w:val="0"/>
      <w:divBdr>
        <w:top w:val="none" w:sz="0" w:space="0" w:color="auto"/>
        <w:left w:val="none" w:sz="0" w:space="0" w:color="auto"/>
        <w:bottom w:val="none" w:sz="0" w:space="0" w:color="auto"/>
        <w:right w:val="none" w:sz="0" w:space="0" w:color="auto"/>
      </w:divBdr>
    </w:div>
    <w:div w:id="1651519504">
      <w:bodyDiv w:val="1"/>
      <w:marLeft w:val="0"/>
      <w:marRight w:val="0"/>
      <w:marTop w:val="0"/>
      <w:marBottom w:val="0"/>
      <w:divBdr>
        <w:top w:val="none" w:sz="0" w:space="0" w:color="auto"/>
        <w:left w:val="none" w:sz="0" w:space="0" w:color="auto"/>
        <w:bottom w:val="none" w:sz="0" w:space="0" w:color="auto"/>
        <w:right w:val="none" w:sz="0" w:space="0" w:color="auto"/>
      </w:divBdr>
    </w:div>
    <w:div w:id="1679380925">
      <w:bodyDiv w:val="1"/>
      <w:marLeft w:val="0"/>
      <w:marRight w:val="0"/>
      <w:marTop w:val="0"/>
      <w:marBottom w:val="0"/>
      <w:divBdr>
        <w:top w:val="none" w:sz="0" w:space="0" w:color="auto"/>
        <w:left w:val="none" w:sz="0" w:space="0" w:color="auto"/>
        <w:bottom w:val="none" w:sz="0" w:space="0" w:color="auto"/>
        <w:right w:val="none" w:sz="0" w:space="0" w:color="auto"/>
      </w:divBdr>
    </w:div>
    <w:div w:id="1791894692">
      <w:bodyDiv w:val="1"/>
      <w:marLeft w:val="0"/>
      <w:marRight w:val="0"/>
      <w:marTop w:val="0"/>
      <w:marBottom w:val="0"/>
      <w:divBdr>
        <w:top w:val="none" w:sz="0" w:space="0" w:color="auto"/>
        <w:left w:val="none" w:sz="0" w:space="0" w:color="auto"/>
        <w:bottom w:val="none" w:sz="0" w:space="0" w:color="auto"/>
        <w:right w:val="none" w:sz="0" w:space="0" w:color="auto"/>
      </w:divBdr>
    </w:div>
    <w:div w:id="1806198175">
      <w:bodyDiv w:val="1"/>
      <w:marLeft w:val="0"/>
      <w:marRight w:val="0"/>
      <w:marTop w:val="0"/>
      <w:marBottom w:val="0"/>
      <w:divBdr>
        <w:top w:val="none" w:sz="0" w:space="0" w:color="auto"/>
        <w:left w:val="none" w:sz="0" w:space="0" w:color="auto"/>
        <w:bottom w:val="none" w:sz="0" w:space="0" w:color="auto"/>
        <w:right w:val="none" w:sz="0" w:space="0" w:color="auto"/>
      </w:divBdr>
    </w:div>
    <w:div w:id="1806779167">
      <w:bodyDiv w:val="1"/>
      <w:marLeft w:val="0"/>
      <w:marRight w:val="0"/>
      <w:marTop w:val="0"/>
      <w:marBottom w:val="0"/>
      <w:divBdr>
        <w:top w:val="none" w:sz="0" w:space="0" w:color="auto"/>
        <w:left w:val="none" w:sz="0" w:space="0" w:color="auto"/>
        <w:bottom w:val="none" w:sz="0" w:space="0" w:color="auto"/>
        <w:right w:val="none" w:sz="0" w:space="0" w:color="auto"/>
      </w:divBdr>
    </w:div>
    <w:div w:id="1857310796">
      <w:bodyDiv w:val="1"/>
      <w:marLeft w:val="0"/>
      <w:marRight w:val="0"/>
      <w:marTop w:val="0"/>
      <w:marBottom w:val="0"/>
      <w:divBdr>
        <w:top w:val="none" w:sz="0" w:space="0" w:color="auto"/>
        <w:left w:val="none" w:sz="0" w:space="0" w:color="auto"/>
        <w:bottom w:val="none" w:sz="0" w:space="0" w:color="auto"/>
        <w:right w:val="none" w:sz="0" w:space="0" w:color="auto"/>
      </w:divBdr>
    </w:div>
    <w:div w:id="1858233066">
      <w:bodyDiv w:val="1"/>
      <w:marLeft w:val="0"/>
      <w:marRight w:val="0"/>
      <w:marTop w:val="0"/>
      <w:marBottom w:val="0"/>
      <w:divBdr>
        <w:top w:val="none" w:sz="0" w:space="0" w:color="auto"/>
        <w:left w:val="none" w:sz="0" w:space="0" w:color="auto"/>
        <w:bottom w:val="none" w:sz="0" w:space="0" w:color="auto"/>
        <w:right w:val="none" w:sz="0" w:space="0" w:color="auto"/>
      </w:divBdr>
    </w:div>
    <w:div w:id="1878196660">
      <w:bodyDiv w:val="1"/>
      <w:marLeft w:val="0"/>
      <w:marRight w:val="0"/>
      <w:marTop w:val="0"/>
      <w:marBottom w:val="0"/>
      <w:divBdr>
        <w:top w:val="none" w:sz="0" w:space="0" w:color="auto"/>
        <w:left w:val="none" w:sz="0" w:space="0" w:color="auto"/>
        <w:bottom w:val="none" w:sz="0" w:space="0" w:color="auto"/>
        <w:right w:val="none" w:sz="0" w:space="0" w:color="auto"/>
      </w:divBdr>
    </w:div>
    <w:div w:id="1912154703">
      <w:bodyDiv w:val="1"/>
      <w:marLeft w:val="0"/>
      <w:marRight w:val="0"/>
      <w:marTop w:val="0"/>
      <w:marBottom w:val="0"/>
      <w:divBdr>
        <w:top w:val="none" w:sz="0" w:space="0" w:color="auto"/>
        <w:left w:val="none" w:sz="0" w:space="0" w:color="auto"/>
        <w:bottom w:val="none" w:sz="0" w:space="0" w:color="auto"/>
        <w:right w:val="none" w:sz="0" w:space="0" w:color="auto"/>
      </w:divBdr>
    </w:div>
    <w:div w:id="1930693572">
      <w:bodyDiv w:val="1"/>
      <w:marLeft w:val="0"/>
      <w:marRight w:val="0"/>
      <w:marTop w:val="0"/>
      <w:marBottom w:val="0"/>
      <w:divBdr>
        <w:top w:val="none" w:sz="0" w:space="0" w:color="auto"/>
        <w:left w:val="none" w:sz="0" w:space="0" w:color="auto"/>
        <w:bottom w:val="none" w:sz="0" w:space="0" w:color="auto"/>
        <w:right w:val="none" w:sz="0" w:space="0" w:color="auto"/>
      </w:divBdr>
    </w:div>
    <w:div w:id="1938366111">
      <w:bodyDiv w:val="1"/>
      <w:marLeft w:val="0"/>
      <w:marRight w:val="0"/>
      <w:marTop w:val="0"/>
      <w:marBottom w:val="0"/>
      <w:divBdr>
        <w:top w:val="none" w:sz="0" w:space="0" w:color="auto"/>
        <w:left w:val="none" w:sz="0" w:space="0" w:color="auto"/>
        <w:bottom w:val="none" w:sz="0" w:space="0" w:color="auto"/>
        <w:right w:val="none" w:sz="0" w:space="0" w:color="auto"/>
      </w:divBdr>
    </w:div>
    <w:div w:id="1990479704">
      <w:bodyDiv w:val="1"/>
      <w:marLeft w:val="0"/>
      <w:marRight w:val="0"/>
      <w:marTop w:val="0"/>
      <w:marBottom w:val="0"/>
      <w:divBdr>
        <w:top w:val="none" w:sz="0" w:space="0" w:color="auto"/>
        <w:left w:val="none" w:sz="0" w:space="0" w:color="auto"/>
        <w:bottom w:val="none" w:sz="0" w:space="0" w:color="auto"/>
        <w:right w:val="none" w:sz="0" w:space="0" w:color="auto"/>
      </w:divBdr>
    </w:div>
    <w:div w:id="1995180839">
      <w:bodyDiv w:val="1"/>
      <w:marLeft w:val="0"/>
      <w:marRight w:val="0"/>
      <w:marTop w:val="0"/>
      <w:marBottom w:val="0"/>
      <w:divBdr>
        <w:top w:val="none" w:sz="0" w:space="0" w:color="auto"/>
        <w:left w:val="none" w:sz="0" w:space="0" w:color="auto"/>
        <w:bottom w:val="none" w:sz="0" w:space="0" w:color="auto"/>
        <w:right w:val="none" w:sz="0" w:space="0" w:color="auto"/>
      </w:divBdr>
    </w:div>
    <w:div w:id="204173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header" Target="header8.xml"/><Relationship Id="rId39" Type="http://schemas.openxmlformats.org/officeDocument/2006/relationships/footer" Target="footer11.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yperlink" Target="http://www.bata.com.au/group/sites/BAT_9RNFLH.nsf/vwlivelookupHomePage/HOME?opendocument" TargetMode="External"/><Relationship Id="rId42" Type="http://schemas.openxmlformats.org/officeDocument/2006/relationships/footer" Target="footer12.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7.xml"/><Relationship Id="rId33" Type="http://schemas.openxmlformats.org/officeDocument/2006/relationships/hyperlink" Target="http://www.healthstats.nsw.gov.au/Indicator/beh_smo_age/beh_smo_age_snap" TargetMode="External"/><Relationship Id="rId38" Type="http://schemas.openxmlformats.org/officeDocument/2006/relationships/image" Target="media/image5.jpe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4.jpeg"/><Relationship Id="rId32" Type="http://schemas.openxmlformats.org/officeDocument/2006/relationships/hyperlink" Target="http://www.health.gov.au/internet/main/publishing.nsf/Content/ictstpa" TargetMode="External"/><Relationship Id="rId37" Type="http://schemas.openxmlformats.org/officeDocument/2006/relationships/hyperlink" Target="http://www.bata.com.au/group/sites/bat_9rnflh.nsf/vwPagesWebLive/DO9RNMTE/$FILE/medMDA4K5RM.pdf?openelement" TargetMode="External"/><Relationship Id="rId40" Type="http://schemas.openxmlformats.org/officeDocument/2006/relationships/header" Target="header10.xml"/><Relationship Id="rId45" Type="http://schemas.openxmlformats.org/officeDocument/2006/relationships/hyperlink" Target="http://www.health.gov.au"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9.xml"/><Relationship Id="rId36" Type="http://schemas.openxmlformats.org/officeDocument/2006/relationships/hyperlink" Target="https://www.sahmri.com/our-research/themes/cancer/research/list/population-health" TargetMode="External"/><Relationship Id="rId10" Type="http://schemas.openxmlformats.org/officeDocument/2006/relationships/image" Target="media/image2.jpeg"/><Relationship Id="rId19" Type="http://schemas.openxmlformats.org/officeDocument/2006/relationships/footer" Target="footer6.xml"/><Relationship Id="rId31" Type="http://schemas.openxmlformats.org/officeDocument/2006/relationships/hyperlink" Target="http://www.health.gov.au/internet/main/publishing.nsf/Content/tobacco-kff" TargetMode="External"/><Relationship Id="rId44" Type="http://schemas.openxmlformats.org/officeDocument/2006/relationships/hyperlink" Target="http://www.health.gov.au/tobaccop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yperlink" Target="https://www.australianretailers.com.au/downloads/pdf/deloitte/2011_01_31_AAR_Plain_Packaging2.pdf" TargetMode="External"/><Relationship Id="rId43" Type="http://schemas.openxmlformats.org/officeDocument/2006/relationships/header" Target="header12.xml"/></Relationships>
</file>

<file path=word/_rels/footer10.xml.rels><?xml version="1.0" encoding="UTF-8" standalone="yes"?>
<Relationships xmlns="http://schemas.openxmlformats.org/package/2006/relationships"><Relationship Id="rId1" Type="http://schemas.openxmlformats.org/officeDocument/2006/relationships/image" Target="media/image3.jpeg"/></Relationships>
</file>

<file path=word/_rels/footer11.xml.rels><?xml version="1.0" encoding="UTF-8" standalone="yes"?>
<Relationships xmlns="http://schemas.openxmlformats.org/package/2006/relationships"><Relationship Id="rId1" Type="http://schemas.openxmlformats.org/officeDocument/2006/relationships/image" Target="media/image3.jpeg"/></Relationships>
</file>

<file path=word/_rels/footer12.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1" Type="http://schemas.openxmlformats.org/officeDocument/2006/relationships/image" Target="media/image3.jpeg"/></Relationships>
</file>

<file path=word/_rels/footer6.xml.rels><?xml version="1.0" encoding="UTF-8" standalone="yes"?>
<Relationships xmlns="http://schemas.openxmlformats.org/package/2006/relationships"><Relationship Id="rId1" Type="http://schemas.openxmlformats.org/officeDocument/2006/relationships/image" Target="media/image3.jpeg"/></Relationships>
</file>

<file path=word/_rels/footer7.xml.rels><?xml version="1.0" encoding="UTF-8" standalone="yes"?>
<Relationships xmlns="http://schemas.openxmlformats.org/package/2006/relationships"><Relationship Id="rId1" Type="http://schemas.openxmlformats.org/officeDocument/2006/relationships/image" Target="media/image3.jpeg"/></Relationships>
</file>

<file path=word/_rels/foot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02551-0CC7-4AE2-971D-387FD5648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98E18BD4</Template>
  <TotalTime>0</TotalTime>
  <Pages>92</Pages>
  <Words>32773</Words>
  <Characters>184902</Characters>
  <Application>Microsoft Office Word</Application>
  <DocSecurity>0</DocSecurity>
  <Lines>1540</Lines>
  <Paragraphs>434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217241</CharactersWithSpaces>
  <SharedDoc>false</SharedDoc>
  <HLinks>
    <vt:vector size="180" baseType="variant">
      <vt:variant>
        <vt:i4>1114168</vt:i4>
      </vt:variant>
      <vt:variant>
        <vt:i4>176</vt:i4>
      </vt:variant>
      <vt:variant>
        <vt:i4>0</vt:i4>
      </vt:variant>
      <vt:variant>
        <vt:i4>5</vt:i4>
      </vt:variant>
      <vt:variant>
        <vt:lpwstr/>
      </vt:variant>
      <vt:variant>
        <vt:lpwstr>_Toc442697739</vt:lpwstr>
      </vt:variant>
      <vt:variant>
        <vt:i4>1114168</vt:i4>
      </vt:variant>
      <vt:variant>
        <vt:i4>170</vt:i4>
      </vt:variant>
      <vt:variant>
        <vt:i4>0</vt:i4>
      </vt:variant>
      <vt:variant>
        <vt:i4>5</vt:i4>
      </vt:variant>
      <vt:variant>
        <vt:lpwstr/>
      </vt:variant>
      <vt:variant>
        <vt:lpwstr>_Toc442697738</vt:lpwstr>
      </vt:variant>
      <vt:variant>
        <vt:i4>1114168</vt:i4>
      </vt:variant>
      <vt:variant>
        <vt:i4>164</vt:i4>
      </vt:variant>
      <vt:variant>
        <vt:i4>0</vt:i4>
      </vt:variant>
      <vt:variant>
        <vt:i4>5</vt:i4>
      </vt:variant>
      <vt:variant>
        <vt:lpwstr/>
      </vt:variant>
      <vt:variant>
        <vt:lpwstr>_Toc442697737</vt:lpwstr>
      </vt:variant>
      <vt:variant>
        <vt:i4>1114168</vt:i4>
      </vt:variant>
      <vt:variant>
        <vt:i4>158</vt:i4>
      </vt:variant>
      <vt:variant>
        <vt:i4>0</vt:i4>
      </vt:variant>
      <vt:variant>
        <vt:i4>5</vt:i4>
      </vt:variant>
      <vt:variant>
        <vt:lpwstr/>
      </vt:variant>
      <vt:variant>
        <vt:lpwstr>_Toc442697736</vt:lpwstr>
      </vt:variant>
      <vt:variant>
        <vt:i4>1114168</vt:i4>
      </vt:variant>
      <vt:variant>
        <vt:i4>152</vt:i4>
      </vt:variant>
      <vt:variant>
        <vt:i4>0</vt:i4>
      </vt:variant>
      <vt:variant>
        <vt:i4>5</vt:i4>
      </vt:variant>
      <vt:variant>
        <vt:lpwstr/>
      </vt:variant>
      <vt:variant>
        <vt:lpwstr>_Toc442697735</vt:lpwstr>
      </vt:variant>
      <vt:variant>
        <vt:i4>1114168</vt:i4>
      </vt:variant>
      <vt:variant>
        <vt:i4>146</vt:i4>
      </vt:variant>
      <vt:variant>
        <vt:i4>0</vt:i4>
      </vt:variant>
      <vt:variant>
        <vt:i4>5</vt:i4>
      </vt:variant>
      <vt:variant>
        <vt:lpwstr/>
      </vt:variant>
      <vt:variant>
        <vt:lpwstr>_Toc442697734</vt:lpwstr>
      </vt:variant>
      <vt:variant>
        <vt:i4>1114168</vt:i4>
      </vt:variant>
      <vt:variant>
        <vt:i4>140</vt:i4>
      </vt:variant>
      <vt:variant>
        <vt:i4>0</vt:i4>
      </vt:variant>
      <vt:variant>
        <vt:i4>5</vt:i4>
      </vt:variant>
      <vt:variant>
        <vt:lpwstr/>
      </vt:variant>
      <vt:variant>
        <vt:lpwstr>_Toc442697733</vt:lpwstr>
      </vt:variant>
      <vt:variant>
        <vt:i4>1114168</vt:i4>
      </vt:variant>
      <vt:variant>
        <vt:i4>134</vt:i4>
      </vt:variant>
      <vt:variant>
        <vt:i4>0</vt:i4>
      </vt:variant>
      <vt:variant>
        <vt:i4>5</vt:i4>
      </vt:variant>
      <vt:variant>
        <vt:lpwstr/>
      </vt:variant>
      <vt:variant>
        <vt:lpwstr>_Toc442697732</vt:lpwstr>
      </vt:variant>
      <vt:variant>
        <vt:i4>1114168</vt:i4>
      </vt:variant>
      <vt:variant>
        <vt:i4>128</vt:i4>
      </vt:variant>
      <vt:variant>
        <vt:i4>0</vt:i4>
      </vt:variant>
      <vt:variant>
        <vt:i4>5</vt:i4>
      </vt:variant>
      <vt:variant>
        <vt:lpwstr/>
      </vt:variant>
      <vt:variant>
        <vt:lpwstr>_Toc442697731</vt:lpwstr>
      </vt:variant>
      <vt:variant>
        <vt:i4>1114168</vt:i4>
      </vt:variant>
      <vt:variant>
        <vt:i4>122</vt:i4>
      </vt:variant>
      <vt:variant>
        <vt:i4>0</vt:i4>
      </vt:variant>
      <vt:variant>
        <vt:i4>5</vt:i4>
      </vt:variant>
      <vt:variant>
        <vt:lpwstr/>
      </vt:variant>
      <vt:variant>
        <vt:lpwstr>_Toc442697730</vt:lpwstr>
      </vt:variant>
      <vt:variant>
        <vt:i4>1048632</vt:i4>
      </vt:variant>
      <vt:variant>
        <vt:i4>116</vt:i4>
      </vt:variant>
      <vt:variant>
        <vt:i4>0</vt:i4>
      </vt:variant>
      <vt:variant>
        <vt:i4>5</vt:i4>
      </vt:variant>
      <vt:variant>
        <vt:lpwstr/>
      </vt:variant>
      <vt:variant>
        <vt:lpwstr>_Toc442697729</vt:lpwstr>
      </vt:variant>
      <vt:variant>
        <vt:i4>1048632</vt:i4>
      </vt:variant>
      <vt:variant>
        <vt:i4>110</vt:i4>
      </vt:variant>
      <vt:variant>
        <vt:i4>0</vt:i4>
      </vt:variant>
      <vt:variant>
        <vt:i4>5</vt:i4>
      </vt:variant>
      <vt:variant>
        <vt:lpwstr/>
      </vt:variant>
      <vt:variant>
        <vt:lpwstr>_Toc442697728</vt:lpwstr>
      </vt:variant>
      <vt:variant>
        <vt:i4>1048632</vt:i4>
      </vt:variant>
      <vt:variant>
        <vt:i4>104</vt:i4>
      </vt:variant>
      <vt:variant>
        <vt:i4>0</vt:i4>
      </vt:variant>
      <vt:variant>
        <vt:i4>5</vt:i4>
      </vt:variant>
      <vt:variant>
        <vt:lpwstr/>
      </vt:variant>
      <vt:variant>
        <vt:lpwstr>_Toc442697727</vt:lpwstr>
      </vt:variant>
      <vt:variant>
        <vt:i4>1048632</vt:i4>
      </vt:variant>
      <vt:variant>
        <vt:i4>98</vt:i4>
      </vt:variant>
      <vt:variant>
        <vt:i4>0</vt:i4>
      </vt:variant>
      <vt:variant>
        <vt:i4>5</vt:i4>
      </vt:variant>
      <vt:variant>
        <vt:lpwstr/>
      </vt:variant>
      <vt:variant>
        <vt:lpwstr>_Toc442697726</vt:lpwstr>
      </vt:variant>
      <vt:variant>
        <vt:i4>1048632</vt:i4>
      </vt:variant>
      <vt:variant>
        <vt:i4>92</vt:i4>
      </vt:variant>
      <vt:variant>
        <vt:i4>0</vt:i4>
      </vt:variant>
      <vt:variant>
        <vt:i4>5</vt:i4>
      </vt:variant>
      <vt:variant>
        <vt:lpwstr/>
      </vt:variant>
      <vt:variant>
        <vt:lpwstr>_Toc442697725</vt:lpwstr>
      </vt:variant>
      <vt:variant>
        <vt:i4>1048632</vt:i4>
      </vt:variant>
      <vt:variant>
        <vt:i4>86</vt:i4>
      </vt:variant>
      <vt:variant>
        <vt:i4>0</vt:i4>
      </vt:variant>
      <vt:variant>
        <vt:i4>5</vt:i4>
      </vt:variant>
      <vt:variant>
        <vt:lpwstr/>
      </vt:variant>
      <vt:variant>
        <vt:lpwstr>_Toc442697724</vt:lpwstr>
      </vt:variant>
      <vt:variant>
        <vt:i4>1048632</vt:i4>
      </vt:variant>
      <vt:variant>
        <vt:i4>80</vt:i4>
      </vt:variant>
      <vt:variant>
        <vt:i4>0</vt:i4>
      </vt:variant>
      <vt:variant>
        <vt:i4>5</vt:i4>
      </vt:variant>
      <vt:variant>
        <vt:lpwstr/>
      </vt:variant>
      <vt:variant>
        <vt:lpwstr>_Toc442697723</vt:lpwstr>
      </vt:variant>
      <vt:variant>
        <vt:i4>1048632</vt:i4>
      </vt:variant>
      <vt:variant>
        <vt:i4>74</vt:i4>
      </vt:variant>
      <vt:variant>
        <vt:i4>0</vt:i4>
      </vt:variant>
      <vt:variant>
        <vt:i4>5</vt:i4>
      </vt:variant>
      <vt:variant>
        <vt:lpwstr/>
      </vt:variant>
      <vt:variant>
        <vt:lpwstr>_Toc442697722</vt:lpwstr>
      </vt:variant>
      <vt:variant>
        <vt:i4>1048632</vt:i4>
      </vt:variant>
      <vt:variant>
        <vt:i4>68</vt:i4>
      </vt:variant>
      <vt:variant>
        <vt:i4>0</vt:i4>
      </vt:variant>
      <vt:variant>
        <vt:i4>5</vt:i4>
      </vt:variant>
      <vt:variant>
        <vt:lpwstr/>
      </vt:variant>
      <vt:variant>
        <vt:lpwstr>_Toc442697721</vt:lpwstr>
      </vt:variant>
      <vt:variant>
        <vt:i4>1048632</vt:i4>
      </vt:variant>
      <vt:variant>
        <vt:i4>62</vt:i4>
      </vt:variant>
      <vt:variant>
        <vt:i4>0</vt:i4>
      </vt:variant>
      <vt:variant>
        <vt:i4>5</vt:i4>
      </vt:variant>
      <vt:variant>
        <vt:lpwstr/>
      </vt:variant>
      <vt:variant>
        <vt:lpwstr>_Toc442697720</vt:lpwstr>
      </vt:variant>
      <vt:variant>
        <vt:i4>1245240</vt:i4>
      </vt:variant>
      <vt:variant>
        <vt:i4>56</vt:i4>
      </vt:variant>
      <vt:variant>
        <vt:i4>0</vt:i4>
      </vt:variant>
      <vt:variant>
        <vt:i4>5</vt:i4>
      </vt:variant>
      <vt:variant>
        <vt:lpwstr/>
      </vt:variant>
      <vt:variant>
        <vt:lpwstr>_Toc442697719</vt:lpwstr>
      </vt:variant>
      <vt:variant>
        <vt:i4>1245240</vt:i4>
      </vt:variant>
      <vt:variant>
        <vt:i4>50</vt:i4>
      </vt:variant>
      <vt:variant>
        <vt:i4>0</vt:i4>
      </vt:variant>
      <vt:variant>
        <vt:i4>5</vt:i4>
      </vt:variant>
      <vt:variant>
        <vt:lpwstr/>
      </vt:variant>
      <vt:variant>
        <vt:lpwstr>_Toc442697718</vt:lpwstr>
      </vt:variant>
      <vt:variant>
        <vt:i4>1245240</vt:i4>
      </vt:variant>
      <vt:variant>
        <vt:i4>44</vt:i4>
      </vt:variant>
      <vt:variant>
        <vt:i4>0</vt:i4>
      </vt:variant>
      <vt:variant>
        <vt:i4>5</vt:i4>
      </vt:variant>
      <vt:variant>
        <vt:lpwstr/>
      </vt:variant>
      <vt:variant>
        <vt:lpwstr>_Toc442697717</vt:lpwstr>
      </vt:variant>
      <vt:variant>
        <vt:i4>1245240</vt:i4>
      </vt:variant>
      <vt:variant>
        <vt:i4>38</vt:i4>
      </vt:variant>
      <vt:variant>
        <vt:i4>0</vt:i4>
      </vt:variant>
      <vt:variant>
        <vt:i4>5</vt:i4>
      </vt:variant>
      <vt:variant>
        <vt:lpwstr/>
      </vt:variant>
      <vt:variant>
        <vt:lpwstr>_Toc442697716</vt:lpwstr>
      </vt:variant>
      <vt:variant>
        <vt:i4>1245240</vt:i4>
      </vt:variant>
      <vt:variant>
        <vt:i4>32</vt:i4>
      </vt:variant>
      <vt:variant>
        <vt:i4>0</vt:i4>
      </vt:variant>
      <vt:variant>
        <vt:i4>5</vt:i4>
      </vt:variant>
      <vt:variant>
        <vt:lpwstr/>
      </vt:variant>
      <vt:variant>
        <vt:lpwstr>_Toc442697715</vt:lpwstr>
      </vt:variant>
      <vt:variant>
        <vt:i4>1245240</vt:i4>
      </vt:variant>
      <vt:variant>
        <vt:i4>26</vt:i4>
      </vt:variant>
      <vt:variant>
        <vt:i4>0</vt:i4>
      </vt:variant>
      <vt:variant>
        <vt:i4>5</vt:i4>
      </vt:variant>
      <vt:variant>
        <vt:lpwstr/>
      </vt:variant>
      <vt:variant>
        <vt:lpwstr>_Toc442697714</vt:lpwstr>
      </vt:variant>
      <vt:variant>
        <vt:i4>1245240</vt:i4>
      </vt:variant>
      <vt:variant>
        <vt:i4>20</vt:i4>
      </vt:variant>
      <vt:variant>
        <vt:i4>0</vt:i4>
      </vt:variant>
      <vt:variant>
        <vt:i4>5</vt:i4>
      </vt:variant>
      <vt:variant>
        <vt:lpwstr/>
      </vt:variant>
      <vt:variant>
        <vt:lpwstr>_Toc442697713</vt:lpwstr>
      </vt:variant>
      <vt:variant>
        <vt:i4>1245240</vt:i4>
      </vt:variant>
      <vt:variant>
        <vt:i4>14</vt:i4>
      </vt:variant>
      <vt:variant>
        <vt:i4>0</vt:i4>
      </vt:variant>
      <vt:variant>
        <vt:i4>5</vt:i4>
      </vt:variant>
      <vt:variant>
        <vt:lpwstr/>
      </vt:variant>
      <vt:variant>
        <vt:lpwstr>_Toc442697712</vt:lpwstr>
      </vt:variant>
      <vt:variant>
        <vt:i4>1245240</vt:i4>
      </vt:variant>
      <vt:variant>
        <vt:i4>8</vt:i4>
      </vt:variant>
      <vt:variant>
        <vt:i4>0</vt:i4>
      </vt:variant>
      <vt:variant>
        <vt:i4>5</vt:i4>
      </vt:variant>
      <vt:variant>
        <vt:lpwstr/>
      </vt:variant>
      <vt:variant>
        <vt:lpwstr>_Toc442697711</vt:lpwstr>
      </vt:variant>
      <vt:variant>
        <vt:i4>1245240</vt:i4>
      </vt:variant>
      <vt:variant>
        <vt:i4>2</vt:i4>
      </vt:variant>
      <vt:variant>
        <vt:i4>0</vt:i4>
      </vt:variant>
      <vt:variant>
        <vt:i4>5</vt:i4>
      </vt:variant>
      <vt:variant>
        <vt:lpwstr/>
      </vt:variant>
      <vt:variant>
        <vt:lpwstr>_Toc442697710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Tobacco Plain Packaging PIR – Appendix B</dc:title>
  <dc:creator/>
  <cp:lastModifiedBy/>
  <cp:revision>1</cp:revision>
  <dcterms:created xsi:type="dcterms:W3CDTF">2016-02-19T00:31:00Z</dcterms:created>
  <dcterms:modified xsi:type="dcterms:W3CDTF">2016-02-26T00:34:00Z</dcterms:modified>
  <cp:contentStatus/>
</cp:coreProperties>
</file>