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E3EF3" w14:textId="77777777" w:rsidR="00CB6B8C" w:rsidRDefault="00D96981" w:rsidP="00A600F6">
      <w:pPr>
        <w:jc w:val="right"/>
        <w:rPr>
          <w:sz w:val="16"/>
        </w:rPr>
      </w:pPr>
      <w:r>
        <w:object w:dxaOrig="1440" w:dyaOrig="1440" w14:anchorId="539E3F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53.7pt;margin-top:-29.45pt;width:127.45pt;height:74.4pt;z-index:251658240" o:allowincell="f">
            <v:imagedata r:id="rId10" o:title="" grayscale="t" bilevel="t"/>
            <w10:wrap type="topAndBottom"/>
          </v:shape>
          <o:OLEObject Type="Embed" ProgID="MSPhotoEd.3" ShapeID="_x0000_s1026" DrawAspect="Content" ObjectID="_1637149481" r:id="rId11"/>
        </w:object>
      </w:r>
      <w:r w:rsidR="000A3B85">
        <w:rPr>
          <w:sz w:val="16"/>
        </w:rPr>
        <w:t xml:space="preserve">  </w:t>
      </w:r>
      <w:r w:rsidR="00A600F6">
        <w:rPr>
          <w:sz w:val="16"/>
        </w:rPr>
        <w:t>DEPUTY SECRETARY</w:t>
      </w:r>
      <w:r w:rsidR="00A600F6">
        <w:rPr>
          <w:sz w:val="16"/>
        </w:rPr>
        <w:tab/>
      </w:r>
    </w:p>
    <w:p w14:paraId="539E3EF4" w14:textId="4146244C" w:rsidR="00CB6B8C" w:rsidRPr="00154F9F" w:rsidRDefault="00D96981">
      <w:pPr>
        <w:rPr>
          <w:sz w:val="24"/>
          <w:szCs w:val="24"/>
        </w:rPr>
      </w:pPr>
      <w:sdt>
        <w:sdtPr>
          <w:rPr>
            <w:sz w:val="24"/>
            <w:szCs w:val="24"/>
          </w:rPr>
          <w:alias w:val="PDR Number"/>
          <w:tag w:val="pdrid"/>
          <w:id w:val="1369112636"/>
          <w:placeholder>
            <w:docPart w:val="DefaultPlaceholder_1081868574"/>
          </w:placeholder>
          <w:text/>
        </w:sdtPr>
        <w:sdtEndPr/>
        <w:sdtContent>
          <w:r w:rsidR="003A4CB7">
            <w:rPr>
              <w:sz w:val="24"/>
              <w:szCs w:val="24"/>
            </w:rPr>
            <w:t>EC19-001126</w:t>
          </w:r>
        </w:sdtContent>
      </w:sdt>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r w:rsidR="003A4CB7" w:rsidRPr="00154F9F">
        <w:rPr>
          <w:sz w:val="24"/>
          <w:szCs w:val="24"/>
        </w:rPr>
        <w:tab/>
      </w:r>
    </w:p>
    <w:p w14:paraId="539E3EF5" w14:textId="77777777" w:rsidR="00CB6B8C" w:rsidRDefault="00CB6B8C">
      <w:pPr>
        <w:rPr>
          <w:sz w:val="24"/>
        </w:rPr>
      </w:pPr>
    </w:p>
    <w:p w14:paraId="1E3C8AF7" w14:textId="77777777" w:rsidR="003A4CB7" w:rsidRPr="00F43B2F" w:rsidRDefault="003A4CB7" w:rsidP="003A4CB7">
      <w:pPr>
        <w:rPr>
          <w:sz w:val="24"/>
        </w:rPr>
      </w:pPr>
      <w:r w:rsidRPr="00F43B2F">
        <w:rPr>
          <w:sz w:val="24"/>
        </w:rPr>
        <w:t>Mr Jason Lange</w:t>
      </w:r>
    </w:p>
    <w:p w14:paraId="13ABEB44" w14:textId="77777777" w:rsidR="003A4CB7" w:rsidRPr="00F43B2F" w:rsidRDefault="003A4CB7" w:rsidP="003A4CB7">
      <w:pPr>
        <w:rPr>
          <w:sz w:val="24"/>
        </w:rPr>
      </w:pPr>
      <w:r w:rsidRPr="00F43B2F">
        <w:rPr>
          <w:sz w:val="24"/>
        </w:rPr>
        <w:t>Executive Director</w:t>
      </w:r>
    </w:p>
    <w:p w14:paraId="456D58C2" w14:textId="77777777" w:rsidR="003A4CB7" w:rsidRPr="00F43B2F" w:rsidRDefault="003A4CB7" w:rsidP="003A4CB7">
      <w:pPr>
        <w:rPr>
          <w:sz w:val="24"/>
        </w:rPr>
      </w:pPr>
      <w:r w:rsidRPr="00F43B2F">
        <w:rPr>
          <w:sz w:val="24"/>
        </w:rPr>
        <w:t>Office of Best Practice Regulation</w:t>
      </w:r>
    </w:p>
    <w:p w14:paraId="0EF2E824" w14:textId="77777777" w:rsidR="003A4CB7" w:rsidRPr="00F43B2F" w:rsidRDefault="003A4CB7" w:rsidP="003A4CB7">
      <w:pPr>
        <w:rPr>
          <w:sz w:val="24"/>
        </w:rPr>
      </w:pPr>
      <w:r w:rsidRPr="00F43B2F">
        <w:rPr>
          <w:sz w:val="24"/>
        </w:rPr>
        <w:t>Department of the Prime Minister and Cabinet</w:t>
      </w:r>
    </w:p>
    <w:p w14:paraId="17C06281" w14:textId="77777777" w:rsidR="003A4CB7" w:rsidRPr="00F43B2F" w:rsidRDefault="003A4CB7" w:rsidP="003A4CB7">
      <w:pPr>
        <w:rPr>
          <w:sz w:val="24"/>
        </w:rPr>
      </w:pPr>
      <w:r w:rsidRPr="00F43B2F">
        <w:rPr>
          <w:sz w:val="24"/>
        </w:rPr>
        <w:t>1 National Circuit</w:t>
      </w:r>
    </w:p>
    <w:p w14:paraId="4A8FB5E5" w14:textId="77777777" w:rsidR="003A4CB7" w:rsidRPr="00F43B2F" w:rsidRDefault="003A4CB7" w:rsidP="003A4CB7">
      <w:pPr>
        <w:rPr>
          <w:sz w:val="24"/>
        </w:rPr>
      </w:pPr>
      <w:r w:rsidRPr="00F43B2F">
        <w:rPr>
          <w:sz w:val="24"/>
        </w:rPr>
        <w:t>BARTON   ACT   2600</w:t>
      </w:r>
      <w:r w:rsidRPr="00F43B2F">
        <w:rPr>
          <w:sz w:val="24"/>
        </w:rPr>
        <w:br/>
      </w:r>
    </w:p>
    <w:p w14:paraId="0641F387" w14:textId="77777777" w:rsidR="003A4CB7" w:rsidRPr="00F43B2F" w:rsidRDefault="003A4CB7" w:rsidP="003A4CB7">
      <w:pPr>
        <w:rPr>
          <w:sz w:val="24"/>
        </w:rPr>
      </w:pPr>
      <w:r w:rsidRPr="00F43B2F">
        <w:rPr>
          <w:sz w:val="24"/>
        </w:rPr>
        <w:t>Email: helpdesk-OBPR@pmc.gov.au</w:t>
      </w:r>
    </w:p>
    <w:p w14:paraId="2B2833A6" w14:textId="77777777" w:rsidR="003A4CB7" w:rsidRDefault="003A4CB7" w:rsidP="003A4CB7">
      <w:pPr>
        <w:rPr>
          <w:sz w:val="24"/>
        </w:rPr>
      </w:pPr>
    </w:p>
    <w:p w14:paraId="40522439" w14:textId="77777777" w:rsidR="003A4CB7" w:rsidRDefault="003A4CB7" w:rsidP="003A4CB7">
      <w:pPr>
        <w:rPr>
          <w:sz w:val="24"/>
        </w:rPr>
      </w:pPr>
    </w:p>
    <w:p w14:paraId="2A446C09" w14:textId="77777777" w:rsidR="003A4CB7" w:rsidRDefault="003A4CB7" w:rsidP="003A4CB7">
      <w:pPr>
        <w:rPr>
          <w:sz w:val="24"/>
        </w:rPr>
      </w:pPr>
      <w:r>
        <w:rPr>
          <w:sz w:val="24"/>
        </w:rPr>
        <w:t>Dear Mr Lange</w:t>
      </w:r>
    </w:p>
    <w:p w14:paraId="1DF15A22" w14:textId="77777777" w:rsidR="003A4CB7" w:rsidRPr="00F43B2F" w:rsidRDefault="003A4CB7" w:rsidP="003A4CB7">
      <w:pPr>
        <w:pStyle w:val="Heading1"/>
        <w:keepLines w:val="0"/>
        <w:spacing w:line="300" w:lineRule="exact"/>
        <w:rPr>
          <w:rFonts w:ascii="Arial" w:eastAsia="Times New Roman" w:hAnsi="Arial" w:cs="Times New Roman"/>
          <w:b/>
          <w:color w:val="auto"/>
          <w:kern w:val="28"/>
          <w:sz w:val="24"/>
          <w:szCs w:val="24"/>
          <w:lang w:eastAsia="en-US"/>
        </w:rPr>
      </w:pPr>
      <w:r w:rsidRPr="00F43B2F">
        <w:rPr>
          <w:rFonts w:ascii="Arial" w:eastAsia="Times New Roman" w:hAnsi="Arial" w:cs="Times New Roman"/>
          <w:b/>
          <w:color w:val="auto"/>
          <w:kern w:val="28"/>
          <w:sz w:val="24"/>
          <w:szCs w:val="24"/>
          <w:lang w:eastAsia="en-US"/>
        </w:rPr>
        <w:t>Regulation Impact Statement –</w:t>
      </w:r>
      <w:r>
        <w:rPr>
          <w:rFonts w:ascii="Arial" w:eastAsia="Times New Roman" w:hAnsi="Arial" w:cs="Times New Roman"/>
          <w:b/>
          <w:color w:val="auto"/>
          <w:kern w:val="28"/>
          <w:sz w:val="24"/>
          <w:szCs w:val="24"/>
          <w:lang w:eastAsia="en-US"/>
        </w:rPr>
        <w:t xml:space="preserve"> </w:t>
      </w:r>
      <w:r w:rsidRPr="00F43B2F">
        <w:rPr>
          <w:rFonts w:ascii="Arial" w:eastAsia="Times New Roman" w:hAnsi="Arial" w:cs="Times New Roman"/>
          <w:b/>
          <w:color w:val="auto"/>
          <w:kern w:val="28"/>
          <w:sz w:val="24"/>
          <w:szCs w:val="24"/>
          <w:lang w:eastAsia="en-US"/>
        </w:rPr>
        <w:t>fi</w:t>
      </w:r>
      <w:r>
        <w:rPr>
          <w:rFonts w:ascii="Arial" w:eastAsia="Times New Roman" w:hAnsi="Arial" w:cs="Times New Roman"/>
          <w:b/>
          <w:color w:val="auto"/>
          <w:kern w:val="28"/>
          <w:sz w:val="24"/>
          <w:szCs w:val="24"/>
          <w:lang w:eastAsia="en-US"/>
        </w:rPr>
        <w:t>nal assessment</w:t>
      </w:r>
    </w:p>
    <w:p w14:paraId="4F1B7B0E" w14:textId="77777777" w:rsidR="003A4CB7" w:rsidRDefault="003A4CB7" w:rsidP="003A4CB7"/>
    <w:p w14:paraId="6C4CA478" w14:textId="4AFEEA32" w:rsidR="003A4CB7" w:rsidRDefault="003A4CB7" w:rsidP="003A4CB7">
      <w:pPr>
        <w:rPr>
          <w:sz w:val="24"/>
          <w:szCs w:val="24"/>
        </w:rPr>
      </w:pPr>
      <w:r>
        <w:rPr>
          <w:sz w:val="24"/>
          <w:szCs w:val="24"/>
        </w:rPr>
        <w:t xml:space="preserve">Thank you for your letter dated </w:t>
      </w:r>
      <w:r w:rsidR="00037F47">
        <w:rPr>
          <w:sz w:val="24"/>
          <w:szCs w:val="24"/>
        </w:rPr>
        <w:t>26 August 2019</w:t>
      </w:r>
      <w:r>
        <w:rPr>
          <w:sz w:val="24"/>
          <w:szCs w:val="24"/>
        </w:rPr>
        <w:t xml:space="preserve"> </w:t>
      </w:r>
      <w:r w:rsidR="00A631E1">
        <w:rPr>
          <w:sz w:val="24"/>
          <w:szCs w:val="24"/>
        </w:rPr>
        <w:t xml:space="preserve">which provides </w:t>
      </w:r>
      <w:r w:rsidR="00037F47">
        <w:rPr>
          <w:sz w:val="24"/>
          <w:szCs w:val="24"/>
        </w:rPr>
        <w:t xml:space="preserve">advice resulting from </w:t>
      </w:r>
      <w:r>
        <w:rPr>
          <w:sz w:val="24"/>
          <w:szCs w:val="24"/>
        </w:rPr>
        <w:t xml:space="preserve">the first-pass assessment </w:t>
      </w:r>
      <w:r w:rsidR="00037F47">
        <w:rPr>
          <w:sz w:val="24"/>
          <w:szCs w:val="24"/>
        </w:rPr>
        <w:t>of</w:t>
      </w:r>
      <w:r>
        <w:rPr>
          <w:sz w:val="24"/>
          <w:szCs w:val="24"/>
        </w:rPr>
        <w:t xml:space="preserve"> the </w:t>
      </w:r>
      <w:r w:rsidRPr="00185F8E">
        <w:rPr>
          <w:sz w:val="24"/>
          <w:szCs w:val="24"/>
        </w:rPr>
        <w:t xml:space="preserve">Regulation Impact Statement (RIS) </w:t>
      </w:r>
      <w:r>
        <w:rPr>
          <w:sz w:val="24"/>
          <w:szCs w:val="24"/>
        </w:rPr>
        <w:t xml:space="preserve">that </w:t>
      </w:r>
      <w:r w:rsidRPr="00185F8E">
        <w:rPr>
          <w:sz w:val="24"/>
          <w:szCs w:val="24"/>
        </w:rPr>
        <w:t xml:space="preserve">has been developed in response to the Coalition Government’s Election Commitment to expand eligibility for the Defence Service Homes Insurance </w:t>
      </w:r>
      <w:r w:rsidRPr="00037F47">
        <w:rPr>
          <w:sz w:val="24"/>
          <w:szCs w:val="24"/>
        </w:rPr>
        <w:t xml:space="preserve">Scheme </w:t>
      </w:r>
      <w:r w:rsidR="00A631E1">
        <w:rPr>
          <w:sz w:val="24"/>
          <w:szCs w:val="24"/>
        </w:rPr>
        <w:t xml:space="preserve">(the Scheme) </w:t>
      </w:r>
      <w:r w:rsidR="00037F47">
        <w:rPr>
          <w:sz w:val="24"/>
          <w:szCs w:val="24"/>
        </w:rPr>
        <w:t>– OBPR Reference 25278</w:t>
      </w:r>
      <w:r w:rsidRPr="001C5E59">
        <w:rPr>
          <w:sz w:val="24"/>
          <w:szCs w:val="24"/>
        </w:rPr>
        <w:t>.</w:t>
      </w:r>
    </w:p>
    <w:p w14:paraId="534E8E5F" w14:textId="77777777" w:rsidR="003A4CB7" w:rsidRDefault="003A4CB7" w:rsidP="003A4CB7">
      <w:pPr>
        <w:rPr>
          <w:sz w:val="24"/>
          <w:szCs w:val="24"/>
        </w:rPr>
      </w:pPr>
    </w:p>
    <w:p w14:paraId="07B8B93E" w14:textId="498D0AF4" w:rsidR="003A4CB7" w:rsidRPr="00BA780B" w:rsidRDefault="00037F47" w:rsidP="003A4CB7">
      <w:pPr>
        <w:rPr>
          <w:sz w:val="24"/>
          <w:szCs w:val="24"/>
        </w:rPr>
      </w:pPr>
      <w:r>
        <w:rPr>
          <w:sz w:val="24"/>
          <w:szCs w:val="24"/>
        </w:rPr>
        <w:t>The Department of Veterans’ Affairs (</w:t>
      </w:r>
      <w:r w:rsidR="003A4CB7" w:rsidRPr="00BA780B">
        <w:rPr>
          <w:sz w:val="24"/>
          <w:szCs w:val="24"/>
        </w:rPr>
        <w:t>DVA</w:t>
      </w:r>
      <w:r>
        <w:rPr>
          <w:sz w:val="24"/>
          <w:szCs w:val="24"/>
        </w:rPr>
        <w:t>)</w:t>
      </w:r>
      <w:r w:rsidR="003A4CB7" w:rsidRPr="00BA780B">
        <w:rPr>
          <w:sz w:val="24"/>
          <w:szCs w:val="24"/>
        </w:rPr>
        <w:t xml:space="preserve"> has </w:t>
      </w:r>
      <w:r w:rsidR="00A631E1">
        <w:rPr>
          <w:sz w:val="24"/>
          <w:szCs w:val="24"/>
        </w:rPr>
        <w:t xml:space="preserve">amended the RIS to </w:t>
      </w:r>
      <w:r w:rsidR="003A4CB7" w:rsidRPr="00BA780B">
        <w:rPr>
          <w:sz w:val="24"/>
          <w:szCs w:val="24"/>
        </w:rPr>
        <w:t>address the concerns raised in your letter</w:t>
      </w:r>
      <w:r w:rsidR="00A631E1">
        <w:rPr>
          <w:sz w:val="24"/>
          <w:szCs w:val="24"/>
        </w:rPr>
        <w:t>. I</w:t>
      </w:r>
      <w:r>
        <w:rPr>
          <w:sz w:val="24"/>
          <w:szCs w:val="24"/>
        </w:rPr>
        <w:t>n particular</w:t>
      </w:r>
      <w:r w:rsidR="00A631E1">
        <w:rPr>
          <w:sz w:val="24"/>
          <w:szCs w:val="24"/>
        </w:rPr>
        <w:t>, DVA has</w:t>
      </w:r>
      <w:r w:rsidR="003A4CB7" w:rsidRPr="00BA780B">
        <w:rPr>
          <w:sz w:val="24"/>
          <w:szCs w:val="24"/>
        </w:rPr>
        <w:t>:</w:t>
      </w:r>
    </w:p>
    <w:p w14:paraId="54A7341F" w14:textId="77777777" w:rsidR="003A4CB7" w:rsidRPr="00BA780B" w:rsidRDefault="003A4CB7" w:rsidP="003A4CB7">
      <w:pPr>
        <w:rPr>
          <w:sz w:val="24"/>
          <w:szCs w:val="24"/>
        </w:rPr>
      </w:pPr>
    </w:p>
    <w:p w14:paraId="2D8776BC" w14:textId="6B0EA9CF" w:rsidR="003A4CB7" w:rsidRPr="00BA780B" w:rsidRDefault="00A631E1" w:rsidP="00A631E1">
      <w:pPr>
        <w:pStyle w:val="ListParagraph"/>
        <w:numPr>
          <w:ilvl w:val="0"/>
          <w:numId w:val="2"/>
        </w:numPr>
        <w:spacing w:after="120"/>
        <w:ind w:left="357" w:hanging="357"/>
        <w:contextualSpacing w:val="0"/>
        <w:rPr>
          <w:sz w:val="24"/>
          <w:szCs w:val="24"/>
        </w:rPr>
      </w:pPr>
      <w:r>
        <w:rPr>
          <w:sz w:val="24"/>
          <w:szCs w:val="24"/>
        </w:rPr>
        <w:t>provided further information</w:t>
      </w:r>
      <w:r w:rsidR="00BD1666">
        <w:rPr>
          <w:sz w:val="24"/>
          <w:szCs w:val="24"/>
        </w:rPr>
        <w:t xml:space="preserve"> </w:t>
      </w:r>
      <w:r>
        <w:rPr>
          <w:sz w:val="24"/>
          <w:szCs w:val="24"/>
        </w:rPr>
        <w:t>to explain the policy problem and demonstrate the need for Government action</w:t>
      </w:r>
    </w:p>
    <w:p w14:paraId="6F208243" w14:textId="640CA513" w:rsidR="00A631E1" w:rsidRDefault="00A631E1" w:rsidP="00A631E1">
      <w:pPr>
        <w:pStyle w:val="ListParagraph"/>
        <w:numPr>
          <w:ilvl w:val="0"/>
          <w:numId w:val="2"/>
        </w:numPr>
        <w:spacing w:after="120"/>
        <w:ind w:left="357" w:hanging="357"/>
        <w:contextualSpacing w:val="0"/>
        <w:rPr>
          <w:sz w:val="24"/>
          <w:szCs w:val="24"/>
        </w:rPr>
      </w:pPr>
      <w:r>
        <w:rPr>
          <w:sz w:val="24"/>
          <w:szCs w:val="24"/>
        </w:rPr>
        <w:t>examined the status quo to establish a baseline and facilitate greater understanding of the current arrangements under the Scheme for ADF members and veterans including those who are eligible and ineligible for the Scheme</w:t>
      </w:r>
    </w:p>
    <w:p w14:paraId="40E2CC3C" w14:textId="5CB1EE3E" w:rsidR="003A4CB7" w:rsidRDefault="00A631E1" w:rsidP="00A631E1">
      <w:pPr>
        <w:pStyle w:val="ListParagraph"/>
        <w:numPr>
          <w:ilvl w:val="0"/>
          <w:numId w:val="2"/>
        </w:numPr>
        <w:spacing w:after="120"/>
        <w:ind w:left="357" w:hanging="357"/>
        <w:contextualSpacing w:val="0"/>
        <w:rPr>
          <w:sz w:val="24"/>
          <w:szCs w:val="24"/>
        </w:rPr>
      </w:pPr>
      <w:r>
        <w:rPr>
          <w:sz w:val="24"/>
          <w:szCs w:val="24"/>
        </w:rPr>
        <w:t>examined further the impacts of expanding eligibility for the Scheme including the benefits to ADF members and veterans and the expected effect on cost of living pressures, and</w:t>
      </w:r>
    </w:p>
    <w:p w14:paraId="7DB36A97" w14:textId="19A1D0B5" w:rsidR="00A631E1" w:rsidRPr="00BA780B" w:rsidRDefault="00A73CDC" w:rsidP="00A73CDC">
      <w:pPr>
        <w:pStyle w:val="ListParagraph"/>
        <w:numPr>
          <w:ilvl w:val="0"/>
          <w:numId w:val="2"/>
        </w:numPr>
        <w:ind w:left="357" w:hanging="357"/>
        <w:contextualSpacing w:val="0"/>
        <w:rPr>
          <w:sz w:val="24"/>
          <w:szCs w:val="24"/>
        </w:rPr>
      </w:pPr>
      <w:r>
        <w:rPr>
          <w:sz w:val="24"/>
          <w:szCs w:val="24"/>
        </w:rPr>
        <w:t xml:space="preserve">provided information on competitive neutrality issues including </w:t>
      </w:r>
      <w:r w:rsidR="00A631E1">
        <w:rPr>
          <w:sz w:val="24"/>
          <w:szCs w:val="24"/>
        </w:rPr>
        <w:t>how the Scheme will compete with other insurers.</w:t>
      </w:r>
    </w:p>
    <w:p w14:paraId="45C6903C" w14:textId="77777777" w:rsidR="003A4CB7" w:rsidRDefault="003A4CB7" w:rsidP="003A4CB7">
      <w:pPr>
        <w:rPr>
          <w:sz w:val="24"/>
          <w:szCs w:val="24"/>
        </w:rPr>
      </w:pPr>
    </w:p>
    <w:p w14:paraId="6D981799" w14:textId="20AD12DA" w:rsidR="003A4CB7" w:rsidRDefault="00037F47" w:rsidP="003A4CB7">
      <w:pPr>
        <w:rPr>
          <w:sz w:val="24"/>
          <w:szCs w:val="24"/>
        </w:rPr>
      </w:pPr>
      <w:r>
        <w:rPr>
          <w:sz w:val="24"/>
          <w:szCs w:val="24"/>
        </w:rPr>
        <w:t xml:space="preserve">The </w:t>
      </w:r>
      <w:r w:rsidRPr="00A73CDC">
        <w:rPr>
          <w:sz w:val="24"/>
          <w:szCs w:val="24"/>
          <w:u w:val="single"/>
        </w:rPr>
        <w:t>Appendix</w:t>
      </w:r>
      <w:r>
        <w:rPr>
          <w:sz w:val="24"/>
          <w:szCs w:val="24"/>
        </w:rPr>
        <w:t xml:space="preserve"> to this letter details </w:t>
      </w:r>
      <w:r w:rsidR="00F80C2F">
        <w:rPr>
          <w:sz w:val="24"/>
          <w:szCs w:val="24"/>
        </w:rPr>
        <w:t xml:space="preserve">how </w:t>
      </w:r>
      <w:r>
        <w:rPr>
          <w:sz w:val="24"/>
          <w:szCs w:val="24"/>
        </w:rPr>
        <w:t xml:space="preserve">the RIS has been amended to address the specific issues raised. </w:t>
      </w:r>
    </w:p>
    <w:p w14:paraId="7ECE458F" w14:textId="129F0A2B" w:rsidR="003A4CB7" w:rsidRDefault="003A4CB7" w:rsidP="003A4CB7">
      <w:pPr>
        <w:rPr>
          <w:sz w:val="24"/>
          <w:szCs w:val="24"/>
        </w:rPr>
      </w:pPr>
    </w:p>
    <w:p w14:paraId="2A1D92E5" w14:textId="77777777" w:rsidR="0014662C" w:rsidRDefault="00A73CDC" w:rsidP="00A73CDC">
      <w:pPr>
        <w:rPr>
          <w:sz w:val="24"/>
          <w:szCs w:val="24"/>
        </w:rPr>
      </w:pPr>
      <w:r>
        <w:rPr>
          <w:sz w:val="24"/>
          <w:szCs w:val="24"/>
        </w:rPr>
        <w:t xml:space="preserve">I am satisfied that the amended RIS now complies with </w:t>
      </w:r>
      <w:r w:rsidRPr="00A73CDC">
        <w:rPr>
          <w:sz w:val="24"/>
          <w:szCs w:val="24"/>
        </w:rPr>
        <w:t xml:space="preserve">the </w:t>
      </w:r>
      <w:r w:rsidRPr="00A73CDC">
        <w:rPr>
          <w:i/>
          <w:sz w:val="24"/>
          <w:szCs w:val="24"/>
        </w:rPr>
        <w:t>Australian Government Guide to Regulation</w:t>
      </w:r>
      <w:r>
        <w:rPr>
          <w:sz w:val="24"/>
          <w:szCs w:val="24"/>
        </w:rPr>
        <w:t xml:space="preserve">. </w:t>
      </w:r>
    </w:p>
    <w:p w14:paraId="4E217643" w14:textId="77777777" w:rsidR="0014662C" w:rsidRDefault="0014662C" w:rsidP="00A73CDC">
      <w:pPr>
        <w:rPr>
          <w:sz w:val="24"/>
          <w:szCs w:val="24"/>
        </w:rPr>
      </w:pPr>
    </w:p>
    <w:p w14:paraId="4A4F7E41" w14:textId="4B992B5D" w:rsidR="003A4CB7" w:rsidRPr="00157990" w:rsidRDefault="003A4CB7" w:rsidP="0014662C">
      <w:pPr>
        <w:keepNext/>
        <w:rPr>
          <w:sz w:val="24"/>
          <w:szCs w:val="24"/>
        </w:rPr>
      </w:pPr>
      <w:r w:rsidRPr="005E3232">
        <w:rPr>
          <w:sz w:val="24"/>
          <w:szCs w:val="24"/>
        </w:rPr>
        <w:lastRenderedPageBreak/>
        <w:t>I submit the RIS to the Office of Best Practice Regulation for formal assessment.</w:t>
      </w:r>
    </w:p>
    <w:p w14:paraId="66AB4E77" w14:textId="77777777" w:rsidR="003A4CB7" w:rsidRDefault="003A4CB7" w:rsidP="0014662C">
      <w:pPr>
        <w:keepNext/>
        <w:rPr>
          <w:sz w:val="24"/>
          <w:szCs w:val="24"/>
        </w:rPr>
      </w:pPr>
    </w:p>
    <w:p w14:paraId="1B860651" w14:textId="77777777" w:rsidR="003A4CB7" w:rsidRPr="00E462E4" w:rsidRDefault="003A4CB7" w:rsidP="0014662C">
      <w:pPr>
        <w:pStyle w:val="BodyText"/>
        <w:keepNext/>
        <w:spacing w:before="0" w:line="240" w:lineRule="auto"/>
        <w:jc w:val="left"/>
        <w:rPr>
          <w:szCs w:val="24"/>
        </w:rPr>
      </w:pPr>
      <w:r w:rsidRPr="00E462E4">
        <w:rPr>
          <w:szCs w:val="24"/>
        </w:rPr>
        <w:t>Yours sincerely</w:t>
      </w:r>
    </w:p>
    <w:p w14:paraId="7FAD0499" w14:textId="77777777" w:rsidR="003A4CB7" w:rsidRDefault="003A4CB7" w:rsidP="00A73CDC">
      <w:pPr>
        <w:keepNext/>
        <w:rPr>
          <w:sz w:val="24"/>
        </w:rPr>
      </w:pPr>
    </w:p>
    <w:p w14:paraId="2B96641C" w14:textId="77777777" w:rsidR="003A4CB7" w:rsidRDefault="003A4CB7" w:rsidP="00A73CDC">
      <w:pPr>
        <w:keepNext/>
        <w:rPr>
          <w:sz w:val="24"/>
        </w:rPr>
      </w:pPr>
    </w:p>
    <w:p w14:paraId="438B49D5" w14:textId="77777777" w:rsidR="003A4CB7" w:rsidRDefault="003A4CB7" w:rsidP="00A73CDC">
      <w:pPr>
        <w:keepNext/>
        <w:rPr>
          <w:sz w:val="24"/>
        </w:rPr>
      </w:pPr>
    </w:p>
    <w:p w14:paraId="519C4B0B" w14:textId="77777777" w:rsidR="003A4CB7" w:rsidRDefault="003A4CB7" w:rsidP="00A73CDC">
      <w:pPr>
        <w:keepNext/>
        <w:rPr>
          <w:sz w:val="24"/>
        </w:rPr>
      </w:pPr>
    </w:p>
    <w:p w14:paraId="73F7B697" w14:textId="77777777" w:rsidR="003A4CB7" w:rsidRDefault="003A4CB7" w:rsidP="00A73CDC">
      <w:pPr>
        <w:pStyle w:val="Heading2"/>
        <w:rPr>
          <w:b/>
        </w:rPr>
      </w:pPr>
      <w:r>
        <w:rPr>
          <w:b/>
          <w:szCs w:val="24"/>
        </w:rPr>
        <w:t>Mark Cormack</w:t>
      </w:r>
    </w:p>
    <w:p w14:paraId="539E3F0A" w14:textId="73CE6C16" w:rsidR="001544D0" w:rsidRDefault="003A4CB7" w:rsidP="00A73CDC">
      <w:pPr>
        <w:keepNext/>
        <w:rPr>
          <w:sz w:val="24"/>
        </w:rPr>
      </w:pPr>
      <w:r>
        <w:rPr>
          <w:sz w:val="24"/>
        </w:rPr>
        <w:t>Deputy Secretary</w:t>
      </w:r>
    </w:p>
    <w:p w14:paraId="539E3F0B" w14:textId="77777777" w:rsidR="00CB6B8C" w:rsidRDefault="00CB6B8C" w:rsidP="00A73CDC">
      <w:pPr>
        <w:keepNext/>
        <w:rPr>
          <w:sz w:val="24"/>
        </w:rPr>
      </w:pPr>
    </w:p>
    <w:p w14:paraId="539E3F0F" w14:textId="4B758793" w:rsidR="00CB6B8C" w:rsidRDefault="00D96981" w:rsidP="00A73CDC">
      <w:pPr>
        <w:keepNext/>
        <w:rPr>
          <w:sz w:val="24"/>
        </w:rPr>
      </w:pPr>
      <w:r>
        <w:rPr>
          <w:sz w:val="24"/>
        </w:rPr>
        <w:t>29</w:t>
      </w:r>
      <w:r w:rsidR="003A4CB7">
        <w:rPr>
          <w:sz w:val="24"/>
        </w:rPr>
        <w:t xml:space="preserve"> August 2019</w:t>
      </w:r>
      <w:bookmarkStart w:id="0" w:name="StartPos"/>
      <w:bookmarkEnd w:id="0"/>
    </w:p>
    <w:p w14:paraId="56599309" w14:textId="31E8B71E" w:rsidR="001331EF" w:rsidRDefault="001331EF" w:rsidP="00A73CDC">
      <w:pPr>
        <w:keepNext/>
        <w:rPr>
          <w:sz w:val="24"/>
        </w:rPr>
      </w:pPr>
    </w:p>
    <w:p w14:paraId="01217DBB" w14:textId="77777777" w:rsidR="001331EF" w:rsidRDefault="001331EF" w:rsidP="00A73CDC">
      <w:pPr>
        <w:keepNext/>
        <w:rPr>
          <w:sz w:val="24"/>
        </w:rPr>
        <w:sectPr w:rsidR="001331EF">
          <w:footerReference w:type="first" r:id="rId12"/>
          <w:pgSz w:w="11906" w:h="16838" w:code="9"/>
          <w:pgMar w:top="1021" w:right="1134" w:bottom="1134" w:left="1134" w:header="567" w:footer="567" w:gutter="0"/>
          <w:cols w:space="720"/>
          <w:titlePg/>
        </w:sectPr>
      </w:pPr>
    </w:p>
    <w:p w14:paraId="70B84B8F" w14:textId="00142CB9" w:rsidR="001331EF" w:rsidRPr="00951058" w:rsidRDefault="001331EF" w:rsidP="00951058">
      <w:pPr>
        <w:keepNext/>
        <w:spacing w:after="120"/>
        <w:rPr>
          <w:rFonts w:asciiTheme="minorHAnsi" w:hAnsiTheme="minorHAnsi" w:cstheme="minorHAnsi"/>
          <w:b/>
          <w:sz w:val="28"/>
          <w:szCs w:val="22"/>
        </w:rPr>
      </w:pPr>
      <w:r w:rsidRPr="00951058">
        <w:rPr>
          <w:rFonts w:asciiTheme="minorHAnsi" w:hAnsiTheme="minorHAnsi" w:cstheme="minorHAnsi"/>
          <w:b/>
          <w:sz w:val="28"/>
          <w:szCs w:val="22"/>
        </w:rPr>
        <w:lastRenderedPageBreak/>
        <w:t>Appendix: DVA’s responses to items raised by the OBPR on the First Pass Assessment of the Defence Services Home Insurance Scheme Regulation Impact Statement (RIS)</w:t>
      </w:r>
    </w:p>
    <w:p w14:paraId="0FE7B246" w14:textId="1A8A5042" w:rsidR="001331EF" w:rsidRPr="00E90CDB" w:rsidRDefault="00254BB1" w:rsidP="00951058">
      <w:pPr>
        <w:keepNext/>
        <w:spacing w:before="240" w:after="240"/>
        <w:rPr>
          <w:rFonts w:asciiTheme="minorHAnsi" w:hAnsiTheme="minorHAnsi" w:cstheme="minorHAnsi"/>
          <w:b/>
          <w:sz w:val="22"/>
          <w:szCs w:val="22"/>
        </w:rPr>
      </w:pPr>
      <w:r>
        <w:rPr>
          <w:rFonts w:asciiTheme="minorHAnsi" w:hAnsiTheme="minorHAnsi" w:cstheme="minorHAnsi"/>
          <w:b/>
          <w:sz w:val="22"/>
          <w:szCs w:val="22"/>
        </w:rPr>
        <w:t>Policy p</w:t>
      </w:r>
      <w:r w:rsidR="001331EF" w:rsidRPr="00E90CDB">
        <w:rPr>
          <w:rFonts w:asciiTheme="minorHAnsi" w:hAnsiTheme="minorHAnsi" w:cstheme="minorHAnsi"/>
          <w:b/>
          <w:sz w:val="22"/>
          <w:szCs w:val="22"/>
        </w:rPr>
        <w:t>roblem</w:t>
      </w:r>
      <w:r>
        <w:rPr>
          <w:rFonts w:asciiTheme="minorHAnsi" w:hAnsiTheme="minorHAnsi" w:cstheme="minorHAnsi"/>
          <w:b/>
          <w:sz w:val="22"/>
          <w:szCs w:val="22"/>
        </w:rPr>
        <w:t xml:space="preserve"> and why Government action is needed</w:t>
      </w:r>
    </w:p>
    <w:p w14:paraId="4A116EAC" w14:textId="49FDD153" w:rsidR="00146852" w:rsidRDefault="00F15A9E" w:rsidP="00C379E9">
      <w:pPr>
        <w:rPr>
          <w:rFonts w:asciiTheme="minorHAnsi" w:hAnsiTheme="minorHAnsi" w:cstheme="minorHAnsi"/>
          <w:sz w:val="22"/>
          <w:szCs w:val="22"/>
        </w:rPr>
      </w:pPr>
      <w:r w:rsidRPr="00E90CDB">
        <w:rPr>
          <w:rFonts w:asciiTheme="minorHAnsi" w:hAnsiTheme="minorHAnsi" w:cstheme="minorHAnsi"/>
          <w:sz w:val="22"/>
          <w:szCs w:val="22"/>
        </w:rPr>
        <w:t>Section 1.1 of the RIS notes that the Scheme was established as part of repatriation activities for soldiers returning from the Great War 100 years ago in recognition of their service to our nation. Since its inception, the Scheme has offered concessional home building insurance to those that are eligible for the Scheme in recognition of their service and sacrifice to our nation. This has reduced cost of living pressures for those who are eligible to access the Scheme.</w:t>
      </w:r>
    </w:p>
    <w:p w14:paraId="3DD19C54" w14:textId="77777777" w:rsidR="00C379E9" w:rsidRDefault="00C379E9" w:rsidP="00C379E9">
      <w:pPr>
        <w:rPr>
          <w:rFonts w:asciiTheme="minorHAnsi" w:hAnsiTheme="minorHAnsi" w:cstheme="minorHAnsi"/>
          <w:sz w:val="22"/>
          <w:szCs w:val="22"/>
        </w:rPr>
      </w:pPr>
    </w:p>
    <w:p w14:paraId="1AADDA71" w14:textId="38CB482A" w:rsidR="00C379E9" w:rsidRDefault="00146852" w:rsidP="00C379E9">
      <w:pPr>
        <w:keepNext/>
        <w:rPr>
          <w:rFonts w:asciiTheme="minorHAnsi" w:hAnsiTheme="minorHAnsi" w:cstheme="minorHAnsi"/>
          <w:sz w:val="22"/>
          <w:szCs w:val="22"/>
        </w:rPr>
      </w:pPr>
      <w:r w:rsidRPr="00C379E9">
        <w:rPr>
          <w:rFonts w:asciiTheme="minorHAnsi" w:hAnsiTheme="minorHAnsi" w:cstheme="minorHAnsi"/>
          <w:sz w:val="22"/>
          <w:szCs w:val="22"/>
        </w:rPr>
        <w:t>Section</w:t>
      </w:r>
      <w:r w:rsidR="00C379E9" w:rsidRPr="00C379E9">
        <w:rPr>
          <w:rFonts w:asciiTheme="minorHAnsi" w:hAnsiTheme="minorHAnsi" w:cstheme="minorHAnsi"/>
          <w:sz w:val="22"/>
          <w:szCs w:val="22"/>
        </w:rPr>
        <w:t>s</w:t>
      </w:r>
      <w:r w:rsidRPr="00C379E9">
        <w:rPr>
          <w:rFonts w:asciiTheme="minorHAnsi" w:hAnsiTheme="minorHAnsi" w:cstheme="minorHAnsi"/>
          <w:sz w:val="22"/>
          <w:szCs w:val="22"/>
        </w:rPr>
        <w:t xml:space="preserve"> 1.5 </w:t>
      </w:r>
      <w:r w:rsidR="00C379E9" w:rsidRPr="00C379E9">
        <w:rPr>
          <w:rFonts w:asciiTheme="minorHAnsi" w:hAnsiTheme="minorHAnsi" w:cstheme="minorHAnsi"/>
          <w:sz w:val="22"/>
          <w:szCs w:val="22"/>
        </w:rPr>
        <w:t xml:space="preserve">and 2 </w:t>
      </w:r>
      <w:r w:rsidRPr="00C379E9">
        <w:rPr>
          <w:rFonts w:asciiTheme="minorHAnsi" w:hAnsiTheme="minorHAnsi" w:cstheme="minorHAnsi"/>
          <w:sz w:val="22"/>
          <w:szCs w:val="22"/>
        </w:rPr>
        <w:t xml:space="preserve">of the RIS refers </w:t>
      </w:r>
      <w:r w:rsidR="00C379E9" w:rsidRPr="00C379E9">
        <w:rPr>
          <w:rFonts w:asciiTheme="minorHAnsi" w:hAnsiTheme="minorHAnsi" w:cstheme="minorHAnsi"/>
          <w:sz w:val="22"/>
          <w:szCs w:val="22"/>
        </w:rPr>
        <w:t xml:space="preserve">to concerns </w:t>
      </w:r>
      <w:r w:rsidRPr="00C379E9">
        <w:rPr>
          <w:rFonts w:asciiTheme="minorHAnsi" w:hAnsiTheme="minorHAnsi" w:cstheme="minorHAnsi"/>
          <w:sz w:val="22"/>
          <w:szCs w:val="22"/>
        </w:rPr>
        <w:t xml:space="preserve">raised </w:t>
      </w:r>
      <w:r w:rsidR="00C379E9" w:rsidRPr="00C379E9">
        <w:rPr>
          <w:rFonts w:asciiTheme="minorHAnsi" w:hAnsiTheme="minorHAnsi" w:cstheme="minorHAnsi"/>
          <w:sz w:val="22"/>
          <w:szCs w:val="22"/>
        </w:rPr>
        <w:t>by a small number of ADF members and veterans about</w:t>
      </w:r>
      <w:r w:rsidR="00E34799">
        <w:rPr>
          <w:rFonts w:asciiTheme="minorHAnsi" w:hAnsiTheme="minorHAnsi" w:cstheme="minorHAnsi"/>
          <w:sz w:val="22"/>
          <w:szCs w:val="22"/>
        </w:rPr>
        <w:t>:</w:t>
      </w:r>
    </w:p>
    <w:p w14:paraId="4C864AE3" w14:textId="77777777" w:rsidR="00E34799" w:rsidRDefault="00C379E9" w:rsidP="00E34799">
      <w:pPr>
        <w:pStyle w:val="ListParagraph"/>
        <w:numPr>
          <w:ilvl w:val="0"/>
          <w:numId w:val="6"/>
        </w:numPr>
        <w:spacing w:before="120"/>
        <w:contextualSpacing w:val="0"/>
        <w:rPr>
          <w:rFonts w:asciiTheme="minorHAnsi" w:hAnsiTheme="minorHAnsi" w:cstheme="minorHAnsi"/>
          <w:sz w:val="22"/>
          <w:szCs w:val="22"/>
        </w:rPr>
      </w:pPr>
      <w:r w:rsidRPr="00C379E9">
        <w:rPr>
          <w:rFonts w:asciiTheme="minorHAnsi" w:hAnsiTheme="minorHAnsi" w:cstheme="minorHAnsi"/>
          <w:sz w:val="22"/>
          <w:szCs w:val="22"/>
        </w:rPr>
        <w:t>the eligibility requirements of the Scheme which do not recognise all those who have served our nation and is based on an individual’s type and length of service</w:t>
      </w:r>
    </w:p>
    <w:p w14:paraId="3FCCF217" w14:textId="77777777" w:rsidR="00E34799" w:rsidRDefault="00C379E9" w:rsidP="00E34799">
      <w:pPr>
        <w:pStyle w:val="ListParagraph"/>
        <w:numPr>
          <w:ilvl w:val="0"/>
          <w:numId w:val="6"/>
        </w:numPr>
        <w:spacing w:before="120"/>
        <w:contextualSpacing w:val="0"/>
        <w:rPr>
          <w:rFonts w:asciiTheme="minorHAnsi" w:hAnsiTheme="minorHAnsi" w:cstheme="minorHAnsi"/>
          <w:sz w:val="22"/>
          <w:szCs w:val="22"/>
        </w:rPr>
      </w:pPr>
      <w:r w:rsidRPr="00E90CDB">
        <w:rPr>
          <w:rFonts w:asciiTheme="minorHAnsi" w:hAnsiTheme="minorHAnsi" w:cstheme="minorHAnsi"/>
          <w:sz w:val="22"/>
          <w:szCs w:val="22"/>
        </w:rPr>
        <w:t>the availability of home building insurance policies, particularly in northern Australia</w:t>
      </w:r>
    </w:p>
    <w:p w14:paraId="552357FE" w14:textId="77777777" w:rsidR="00E34799" w:rsidRDefault="00C379E9" w:rsidP="00E34799">
      <w:pPr>
        <w:pStyle w:val="ListParagraph"/>
        <w:numPr>
          <w:ilvl w:val="0"/>
          <w:numId w:val="6"/>
        </w:numPr>
        <w:spacing w:before="120"/>
        <w:contextualSpacing w:val="0"/>
        <w:rPr>
          <w:rFonts w:asciiTheme="minorHAnsi" w:hAnsiTheme="minorHAnsi" w:cstheme="minorHAnsi"/>
          <w:sz w:val="22"/>
          <w:szCs w:val="22"/>
        </w:rPr>
      </w:pPr>
      <w:r w:rsidRPr="00E90CDB">
        <w:rPr>
          <w:rFonts w:asciiTheme="minorHAnsi" w:hAnsiTheme="minorHAnsi" w:cstheme="minorHAnsi"/>
          <w:sz w:val="22"/>
          <w:szCs w:val="22"/>
        </w:rPr>
        <w:t xml:space="preserve">the level of choice in the market, and </w:t>
      </w:r>
    </w:p>
    <w:p w14:paraId="220D486C" w14:textId="116119B1" w:rsidR="00E34799" w:rsidRDefault="00C379E9" w:rsidP="00E34799">
      <w:pPr>
        <w:pStyle w:val="ListParagraph"/>
        <w:numPr>
          <w:ilvl w:val="0"/>
          <w:numId w:val="6"/>
        </w:numPr>
        <w:spacing w:before="120"/>
        <w:contextualSpacing w:val="0"/>
        <w:rPr>
          <w:rFonts w:asciiTheme="minorHAnsi" w:hAnsiTheme="minorHAnsi" w:cstheme="minorHAnsi"/>
          <w:sz w:val="22"/>
          <w:szCs w:val="22"/>
        </w:rPr>
      </w:pPr>
      <w:r w:rsidRPr="00C379E9">
        <w:rPr>
          <w:rFonts w:asciiTheme="minorHAnsi" w:hAnsiTheme="minorHAnsi" w:cstheme="minorHAnsi"/>
          <w:sz w:val="22"/>
          <w:szCs w:val="22"/>
        </w:rPr>
        <w:t>ongoing increases in insurance premiums, which in some instances, cause ADF members and veterans to not insure their home because of cost of living pressures.</w:t>
      </w:r>
      <w:r>
        <w:rPr>
          <w:rFonts w:asciiTheme="minorHAnsi" w:hAnsiTheme="minorHAnsi" w:cstheme="minorHAnsi"/>
          <w:sz w:val="22"/>
          <w:szCs w:val="22"/>
        </w:rPr>
        <w:t xml:space="preserve"> </w:t>
      </w:r>
    </w:p>
    <w:p w14:paraId="4B0F511A" w14:textId="77777777" w:rsidR="00E34799" w:rsidRDefault="00E34799" w:rsidP="00C379E9">
      <w:pPr>
        <w:keepNext/>
        <w:rPr>
          <w:rFonts w:asciiTheme="minorHAnsi" w:hAnsiTheme="minorHAnsi" w:cstheme="minorHAnsi"/>
          <w:sz w:val="22"/>
          <w:szCs w:val="22"/>
        </w:rPr>
      </w:pPr>
    </w:p>
    <w:p w14:paraId="17F0A4E6" w14:textId="6D9D796C" w:rsidR="00E34799" w:rsidRPr="00E90CDB" w:rsidRDefault="00C379E9" w:rsidP="00E34799">
      <w:pPr>
        <w:keepNext/>
        <w:rPr>
          <w:rFonts w:asciiTheme="minorHAnsi" w:hAnsiTheme="minorHAnsi" w:cstheme="minorHAnsi"/>
          <w:sz w:val="22"/>
          <w:szCs w:val="22"/>
        </w:rPr>
      </w:pPr>
      <w:r>
        <w:rPr>
          <w:rFonts w:asciiTheme="minorHAnsi" w:hAnsiTheme="minorHAnsi" w:cstheme="minorHAnsi"/>
          <w:sz w:val="22"/>
          <w:szCs w:val="22"/>
        </w:rPr>
        <w:t>The</w:t>
      </w:r>
      <w:r w:rsidR="00E34799">
        <w:rPr>
          <w:rFonts w:asciiTheme="minorHAnsi" w:hAnsiTheme="minorHAnsi" w:cstheme="minorHAnsi"/>
          <w:sz w:val="22"/>
          <w:szCs w:val="22"/>
        </w:rPr>
        <w:t xml:space="preserve"> above </w:t>
      </w:r>
      <w:r>
        <w:rPr>
          <w:rFonts w:asciiTheme="minorHAnsi" w:hAnsiTheme="minorHAnsi" w:cstheme="minorHAnsi"/>
          <w:sz w:val="22"/>
          <w:szCs w:val="22"/>
        </w:rPr>
        <w:t xml:space="preserve">concerns are supported by the </w:t>
      </w:r>
      <w:r w:rsidRPr="00E90CDB">
        <w:rPr>
          <w:rFonts w:asciiTheme="minorHAnsi" w:hAnsiTheme="minorHAnsi" w:cstheme="minorHAnsi"/>
          <w:sz w:val="22"/>
          <w:szCs w:val="22"/>
        </w:rPr>
        <w:t>findings from the Australian Competition and Consumer Commission’s (ACCC) inquiry into the supply of home building, contents and strata insurance products to consumers in northern Australia</w:t>
      </w:r>
      <w:r>
        <w:rPr>
          <w:rFonts w:asciiTheme="minorHAnsi" w:hAnsiTheme="minorHAnsi" w:cstheme="minorHAnsi"/>
          <w:sz w:val="22"/>
          <w:szCs w:val="22"/>
        </w:rPr>
        <w:t>.</w:t>
      </w:r>
      <w:r w:rsidR="00E34799">
        <w:rPr>
          <w:rFonts w:asciiTheme="minorHAnsi" w:hAnsiTheme="minorHAnsi" w:cstheme="minorHAnsi"/>
          <w:sz w:val="22"/>
          <w:szCs w:val="22"/>
        </w:rPr>
        <w:t xml:space="preserve"> In particular, the ACCC found that </w:t>
      </w:r>
      <w:r w:rsidR="00E34799" w:rsidRPr="00E90CDB">
        <w:rPr>
          <w:rFonts w:asciiTheme="minorHAnsi" w:hAnsiTheme="minorHAnsi" w:cstheme="minorHAnsi"/>
          <w:sz w:val="22"/>
          <w:szCs w:val="22"/>
        </w:rPr>
        <w:t xml:space="preserve">premiums </w:t>
      </w:r>
      <w:r w:rsidR="00E34799">
        <w:rPr>
          <w:rFonts w:asciiTheme="minorHAnsi" w:hAnsiTheme="minorHAnsi" w:cstheme="minorHAnsi"/>
          <w:sz w:val="22"/>
          <w:szCs w:val="22"/>
        </w:rPr>
        <w:t xml:space="preserve">had increased </w:t>
      </w:r>
      <w:r w:rsidR="00E34799" w:rsidRPr="00E90CDB">
        <w:rPr>
          <w:rFonts w:asciiTheme="minorHAnsi" w:hAnsiTheme="minorHAnsi" w:cstheme="minorHAnsi"/>
          <w:sz w:val="22"/>
          <w:szCs w:val="22"/>
        </w:rPr>
        <w:t>by 130</w:t>
      </w:r>
      <w:r w:rsidR="00E34799">
        <w:rPr>
          <w:rFonts w:asciiTheme="minorHAnsi" w:hAnsiTheme="minorHAnsi" w:cstheme="minorHAnsi"/>
          <w:sz w:val="22"/>
          <w:szCs w:val="22"/>
        </w:rPr>
        <w:t> </w:t>
      </w:r>
      <w:r w:rsidR="00E34799" w:rsidRPr="00E90CDB">
        <w:rPr>
          <w:rFonts w:asciiTheme="minorHAnsi" w:hAnsiTheme="minorHAnsi" w:cstheme="minorHAnsi"/>
          <w:sz w:val="22"/>
          <w:szCs w:val="22"/>
        </w:rPr>
        <w:t xml:space="preserve">percent over the past decade in northern Australia compared to 50 percent in southern Australia. </w:t>
      </w:r>
      <w:r w:rsidR="00B076EC">
        <w:rPr>
          <w:rFonts w:asciiTheme="minorHAnsi" w:hAnsiTheme="minorHAnsi" w:cstheme="minorHAnsi"/>
          <w:sz w:val="22"/>
          <w:szCs w:val="22"/>
        </w:rPr>
        <w:t>T</w:t>
      </w:r>
      <w:r w:rsidR="00E34799" w:rsidRPr="00E90CDB">
        <w:rPr>
          <w:rFonts w:asciiTheme="minorHAnsi" w:hAnsiTheme="minorHAnsi" w:cstheme="minorHAnsi"/>
          <w:sz w:val="22"/>
          <w:szCs w:val="22"/>
        </w:rPr>
        <w:t>he ACCC</w:t>
      </w:r>
      <w:r w:rsidR="00E34799">
        <w:rPr>
          <w:rFonts w:asciiTheme="minorHAnsi" w:hAnsiTheme="minorHAnsi" w:cstheme="minorHAnsi"/>
          <w:sz w:val="22"/>
          <w:szCs w:val="22"/>
        </w:rPr>
        <w:t xml:space="preserve"> </w:t>
      </w:r>
      <w:r w:rsidR="00B076EC">
        <w:rPr>
          <w:rFonts w:asciiTheme="minorHAnsi" w:hAnsiTheme="minorHAnsi" w:cstheme="minorHAnsi"/>
          <w:sz w:val="22"/>
          <w:szCs w:val="22"/>
        </w:rPr>
        <w:t xml:space="preserve">also </w:t>
      </w:r>
      <w:r w:rsidR="00E34799">
        <w:rPr>
          <w:rFonts w:asciiTheme="minorHAnsi" w:hAnsiTheme="minorHAnsi" w:cstheme="minorHAnsi"/>
          <w:sz w:val="22"/>
          <w:szCs w:val="22"/>
        </w:rPr>
        <w:t xml:space="preserve">reported </w:t>
      </w:r>
      <w:r w:rsidR="00E34799" w:rsidRPr="00E90CDB">
        <w:rPr>
          <w:rFonts w:asciiTheme="minorHAnsi" w:hAnsiTheme="minorHAnsi" w:cstheme="minorHAnsi"/>
          <w:sz w:val="22"/>
          <w:szCs w:val="22"/>
        </w:rPr>
        <w:t>that:</w:t>
      </w:r>
    </w:p>
    <w:p w14:paraId="05F2C720" w14:textId="77777777" w:rsidR="00E34799" w:rsidRPr="00E90CDB" w:rsidRDefault="00E34799" w:rsidP="00E34799">
      <w:pPr>
        <w:pStyle w:val="ListParagraph"/>
        <w:numPr>
          <w:ilvl w:val="0"/>
          <w:numId w:val="6"/>
        </w:numPr>
        <w:spacing w:before="120"/>
        <w:contextualSpacing w:val="0"/>
        <w:rPr>
          <w:rFonts w:asciiTheme="minorHAnsi" w:hAnsiTheme="minorHAnsi" w:cstheme="minorHAnsi"/>
          <w:sz w:val="22"/>
          <w:szCs w:val="22"/>
        </w:rPr>
      </w:pPr>
      <w:r w:rsidRPr="00E90CDB">
        <w:rPr>
          <w:rFonts w:asciiTheme="minorHAnsi" w:hAnsiTheme="minorHAnsi" w:cstheme="minorHAnsi"/>
          <w:sz w:val="22"/>
          <w:szCs w:val="22"/>
        </w:rPr>
        <w:t xml:space="preserve">many insurers choose not to offer policies in northern Australia due to the higher risks associated with storms and cyclones </w:t>
      </w:r>
    </w:p>
    <w:p w14:paraId="489D12DD" w14:textId="77777777" w:rsidR="00E34799" w:rsidRDefault="00E34799" w:rsidP="00E34799">
      <w:pPr>
        <w:pStyle w:val="ListParagraph"/>
        <w:numPr>
          <w:ilvl w:val="0"/>
          <w:numId w:val="6"/>
        </w:numPr>
        <w:spacing w:before="120"/>
        <w:contextualSpacing w:val="0"/>
        <w:rPr>
          <w:rFonts w:asciiTheme="minorHAnsi" w:hAnsiTheme="minorHAnsi" w:cstheme="minorHAnsi"/>
          <w:sz w:val="22"/>
          <w:szCs w:val="22"/>
        </w:rPr>
      </w:pPr>
      <w:r w:rsidRPr="00E90CDB">
        <w:rPr>
          <w:rFonts w:asciiTheme="minorHAnsi" w:hAnsiTheme="minorHAnsi" w:cstheme="minorHAnsi"/>
          <w:sz w:val="22"/>
          <w:szCs w:val="22"/>
        </w:rPr>
        <w:t>those insurers who do offer policies generally offer them at a significantly higher premium to discourage growth of their portfolio in that area</w:t>
      </w:r>
      <w:r>
        <w:rPr>
          <w:rFonts w:asciiTheme="minorHAnsi" w:hAnsiTheme="minorHAnsi" w:cstheme="minorHAnsi"/>
          <w:sz w:val="22"/>
          <w:szCs w:val="22"/>
        </w:rPr>
        <w:t>, and</w:t>
      </w:r>
    </w:p>
    <w:p w14:paraId="31D6311D" w14:textId="48463647" w:rsidR="00E34799" w:rsidRPr="00E34799" w:rsidRDefault="00E34799" w:rsidP="00E34799">
      <w:pPr>
        <w:pStyle w:val="ListParagraph"/>
        <w:numPr>
          <w:ilvl w:val="0"/>
          <w:numId w:val="6"/>
        </w:numPr>
        <w:spacing w:before="120"/>
        <w:contextualSpacing w:val="0"/>
        <w:rPr>
          <w:rFonts w:asciiTheme="minorHAnsi" w:hAnsiTheme="minorHAnsi" w:cstheme="minorHAnsi"/>
          <w:sz w:val="22"/>
          <w:szCs w:val="22"/>
        </w:rPr>
      </w:pPr>
      <w:r w:rsidRPr="00E34799">
        <w:rPr>
          <w:rFonts w:asciiTheme="minorHAnsi" w:hAnsiTheme="minorHAnsi" w:cstheme="minorHAnsi"/>
          <w:sz w:val="22"/>
          <w:szCs w:val="22"/>
        </w:rPr>
        <w:t>consumers in northern Australia are concerned about the availability of insurance, level of choice and ongoing increases in insurance premiums, causing many to not be insured because they cannot afford the premium.</w:t>
      </w:r>
    </w:p>
    <w:p w14:paraId="7654B50D" w14:textId="77777777" w:rsidR="00C379E9" w:rsidRDefault="00C379E9" w:rsidP="00C379E9">
      <w:pPr>
        <w:rPr>
          <w:rFonts w:asciiTheme="minorHAnsi" w:hAnsiTheme="minorHAnsi" w:cstheme="minorHAnsi"/>
          <w:sz w:val="22"/>
          <w:szCs w:val="22"/>
        </w:rPr>
      </w:pPr>
    </w:p>
    <w:p w14:paraId="3463EE9C" w14:textId="635DB0AE" w:rsidR="00F15A9E" w:rsidRDefault="00F15A9E" w:rsidP="00B076EC">
      <w:pPr>
        <w:rPr>
          <w:rFonts w:asciiTheme="minorHAnsi" w:hAnsiTheme="minorHAnsi" w:cstheme="minorHAnsi"/>
          <w:sz w:val="22"/>
          <w:szCs w:val="22"/>
        </w:rPr>
      </w:pPr>
      <w:r>
        <w:rPr>
          <w:rFonts w:asciiTheme="minorHAnsi" w:hAnsiTheme="minorHAnsi" w:cstheme="minorHAnsi"/>
          <w:sz w:val="22"/>
          <w:szCs w:val="22"/>
        </w:rPr>
        <w:t xml:space="preserve">Section 2 of the RIS details that </w:t>
      </w:r>
      <w:r w:rsidR="005B7601" w:rsidRPr="00E90CDB">
        <w:rPr>
          <w:rFonts w:asciiTheme="minorHAnsi" w:hAnsiTheme="minorHAnsi" w:cstheme="minorHAnsi"/>
          <w:sz w:val="22"/>
          <w:szCs w:val="22"/>
        </w:rPr>
        <w:t xml:space="preserve">under the </w:t>
      </w:r>
      <w:r w:rsidR="00AF1742" w:rsidRPr="00E90CDB">
        <w:rPr>
          <w:rFonts w:asciiTheme="minorHAnsi" w:hAnsiTheme="minorHAnsi" w:cstheme="minorHAnsi"/>
          <w:sz w:val="22"/>
          <w:szCs w:val="22"/>
        </w:rPr>
        <w:t xml:space="preserve">Scheme’s </w:t>
      </w:r>
      <w:r w:rsidR="005B7601" w:rsidRPr="00E90CDB">
        <w:rPr>
          <w:rFonts w:asciiTheme="minorHAnsi" w:hAnsiTheme="minorHAnsi" w:cstheme="minorHAnsi"/>
          <w:sz w:val="22"/>
          <w:szCs w:val="22"/>
        </w:rPr>
        <w:t xml:space="preserve">current </w:t>
      </w:r>
      <w:r w:rsidR="00AF1742" w:rsidRPr="00E90CDB">
        <w:rPr>
          <w:rFonts w:asciiTheme="minorHAnsi" w:hAnsiTheme="minorHAnsi" w:cstheme="minorHAnsi"/>
          <w:sz w:val="22"/>
          <w:szCs w:val="22"/>
        </w:rPr>
        <w:t xml:space="preserve">arrangements, </w:t>
      </w:r>
      <w:r w:rsidR="005B7601" w:rsidRPr="00E90CDB">
        <w:rPr>
          <w:rFonts w:asciiTheme="minorHAnsi" w:hAnsiTheme="minorHAnsi" w:cstheme="minorHAnsi"/>
          <w:sz w:val="22"/>
          <w:szCs w:val="22"/>
        </w:rPr>
        <w:t>more than 300,000 veterans and current serving members are not able to access the Scheme</w:t>
      </w:r>
      <w:r w:rsidR="00AF1742" w:rsidRPr="00E90CDB">
        <w:rPr>
          <w:rFonts w:asciiTheme="minorHAnsi" w:hAnsiTheme="minorHAnsi" w:cstheme="minorHAnsi"/>
          <w:sz w:val="22"/>
          <w:szCs w:val="22"/>
        </w:rPr>
        <w:t xml:space="preserve"> because the type and length of their service does not meet the Scheme’s eligibility requirements</w:t>
      </w:r>
      <w:r w:rsidR="005B7601" w:rsidRPr="00E90CDB">
        <w:rPr>
          <w:rFonts w:asciiTheme="minorHAnsi" w:hAnsiTheme="minorHAnsi" w:cstheme="minorHAnsi"/>
          <w:sz w:val="22"/>
          <w:szCs w:val="22"/>
        </w:rPr>
        <w:t xml:space="preserve">. </w:t>
      </w:r>
      <w:r>
        <w:rPr>
          <w:rFonts w:asciiTheme="minorHAnsi" w:hAnsiTheme="minorHAnsi" w:cstheme="minorHAnsi"/>
          <w:sz w:val="22"/>
          <w:szCs w:val="22"/>
        </w:rPr>
        <w:t xml:space="preserve">Section 2 also sets out that </w:t>
      </w:r>
      <w:r w:rsidR="00E90CDB" w:rsidRPr="00E90CDB">
        <w:rPr>
          <w:rFonts w:asciiTheme="minorHAnsi" w:hAnsiTheme="minorHAnsi" w:cstheme="minorHAnsi"/>
          <w:sz w:val="22"/>
          <w:szCs w:val="22"/>
        </w:rPr>
        <w:t xml:space="preserve">DVA has estimated that there is almost </w:t>
      </w:r>
      <w:r w:rsidR="000D5B8E" w:rsidRPr="00E90CDB">
        <w:rPr>
          <w:rFonts w:asciiTheme="minorHAnsi" w:hAnsiTheme="minorHAnsi" w:cstheme="minorHAnsi"/>
          <w:sz w:val="22"/>
          <w:szCs w:val="22"/>
        </w:rPr>
        <w:t xml:space="preserve">7,000 </w:t>
      </w:r>
      <w:r w:rsidR="00E90CDB" w:rsidRPr="00E90CDB">
        <w:rPr>
          <w:rFonts w:asciiTheme="minorHAnsi" w:hAnsiTheme="minorHAnsi" w:cstheme="minorHAnsi"/>
          <w:sz w:val="22"/>
          <w:szCs w:val="22"/>
        </w:rPr>
        <w:t xml:space="preserve">ADF </w:t>
      </w:r>
      <w:r w:rsidR="000D5B8E" w:rsidRPr="00E90CDB">
        <w:rPr>
          <w:rFonts w:asciiTheme="minorHAnsi" w:hAnsiTheme="minorHAnsi" w:cstheme="minorHAnsi"/>
          <w:sz w:val="22"/>
          <w:szCs w:val="22"/>
        </w:rPr>
        <w:t xml:space="preserve">personnel </w:t>
      </w:r>
      <w:r w:rsidR="00E90CDB" w:rsidRPr="00E90CDB">
        <w:rPr>
          <w:rFonts w:asciiTheme="minorHAnsi" w:hAnsiTheme="minorHAnsi" w:cstheme="minorHAnsi"/>
          <w:sz w:val="22"/>
          <w:szCs w:val="22"/>
        </w:rPr>
        <w:t xml:space="preserve">based in northern Australia </w:t>
      </w:r>
      <w:r w:rsidR="000D5B8E" w:rsidRPr="00E90CDB">
        <w:rPr>
          <w:rFonts w:asciiTheme="minorHAnsi" w:hAnsiTheme="minorHAnsi" w:cstheme="minorHAnsi"/>
          <w:sz w:val="22"/>
          <w:szCs w:val="22"/>
        </w:rPr>
        <w:t>who are faced with high insurance premiums due to their posted location</w:t>
      </w:r>
      <w:r>
        <w:rPr>
          <w:rFonts w:asciiTheme="minorHAnsi" w:hAnsiTheme="minorHAnsi" w:cstheme="minorHAnsi"/>
          <w:sz w:val="22"/>
          <w:szCs w:val="22"/>
        </w:rPr>
        <w:t xml:space="preserve">. </w:t>
      </w:r>
    </w:p>
    <w:p w14:paraId="11BEBAD8" w14:textId="77777777" w:rsidR="00F15A9E" w:rsidRDefault="00F15A9E" w:rsidP="00B076EC">
      <w:pPr>
        <w:rPr>
          <w:rFonts w:asciiTheme="minorHAnsi" w:hAnsiTheme="minorHAnsi" w:cstheme="minorHAnsi"/>
          <w:sz w:val="22"/>
          <w:szCs w:val="22"/>
        </w:rPr>
      </w:pPr>
    </w:p>
    <w:p w14:paraId="291CF44D" w14:textId="1229F367" w:rsidR="00B076EC" w:rsidRDefault="00AF1742" w:rsidP="00B076EC">
      <w:pPr>
        <w:rPr>
          <w:rFonts w:asciiTheme="minorHAnsi" w:hAnsiTheme="minorHAnsi" w:cstheme="minorHAnsi"/>
          <w:sz w:val="22"/>
          <w:szCs w:val="22"/>
        </w:rPr>
      </w:pPr>
      <w:r w:rsidRPr="00E90CDB">
        <w:rPr>
          <w:rFonts w:asciiTheme="minorHAnsi" w:hAnsiTheme="minorHAnsi" w:cstheme="minorHAnsi"/>
          <w:sz w:val="22"/>
          <w:szCs w:val="22"/>
        </w:rPr>
        <w:t xml:space="preserve">Section </w:t>
      </w:r>
      <w:r w:rsidR="00254BB1">
        <w:rPr>
          <w:rFonts w:asciiTheme="minorHAnsi" w:hAnsiTheme="minorHAnsi" w:cstheme="minorHAnsi"/>
          <w:sz w:val="22"/>
          <w:szCs w:val="22"/>
        </w:rPr>
        <w:t>3</w:t>
      </w:r>
      <w:r w:rsidRPr="00E90CDB">
        <w:rPr>
          <w:rFonts w:asciiTheme="minorHAnsi" w:hAnsiTheme="minorHAnsi" w:cstheme="minorHAnsi"/>
          <w:sz w:val="22"/>
          <w:szCs w:val="22"/>
        </w:rPr>
        <w:t xml:space="preserve"> of the RIS</w:t>
      </w:r>
      <w:r w:rsidR="00F15A9E">
        <w:rPr>
          <w:rFonts w:asciiTheme="minorHAnsi" w:hAnsiTheme="minorHAnsi" w:cstheme="minorHAnsi"/>
          <w:sz w:val="22"/>
          <w:szCs w:val="22"/>
        </w:rPr>
        <w:t xml:space="preserve"> </w:t>
      </w:r>
      <w:r w:rsidR="00F15A9E" w:rsidRPr="00E90CDB">
        <w:rPr>
          <w:rFonts w:asciiTheme="minorHAnsi" w:hAnsiTheme="minorHAnsi" w:cstheme="minorHAnsi"/>
          <w:sz w:val="22"/>
          <w:szCs w:val="22"/>
        </w:rPr>
        <w:t xml:space="preserve">identifies that the Coalition’s election commitment to extend eligibility to the Scheme </w:t>
      </w:r>
      <w:r w:rsidR="00B076EC" w:rsidRPr="00B076EC">
        <w:rPr>
          <w:rFonts w:asciiTheme="minorHAnsi" w:hAnsiTheme="minorHAnsi" w:cstheme="minorHAnsi"/>
          <w:sz w:val="22"/>
          <w:szCs w:val="22"/>
        </w:rPr>
        <w:t xml:space="preserve">will address the disparity in current eligibility criteria, ensure the Scheme supports all ADF members and veterans, and provide greater peace of mind for </w:t>
      </w:r>
      <w:r w:rsidR="00B076EC">
        <w:rPr>
          <w:rFonts w:asciiTheme="minorHAnsi" w:hAnsiTheme="minorHAnsi" w:cstheme="minorHAnsi"/>
          <w:sz w:val="22"/>
          <w:szCs w:val="22"/>
        </w:rPr>
        <w:t xml:space="preserve">ADF members, veterans and their families. </w:t>
      </w:r>
      <w:r w:rsidR="00B076EC" w:rsidRPr="00B076EC">
        <w:rPr>
          <w:rFonts w:asciiTheme="minorHAnsi" w:hAnsiTheme="minorHAnsi" w:cstheme="minorHAnsi"/>
          <w:sz w:val="22"/>
          <w:szCs w:val="22"/>
        </w:rPr>
        <w:t>In addition, the concessional insurance available through the Scheme will reduce costs of living for ADF members and veterans, especially for those located in regional and northern Australia.</w:t>
      </w:r>
    </w:p>
    <w:p w14:paraId="34307076" w14:textId="77777777" w:rsidR="00254BB1" w:rsidRDefault="00254BB1" w:rsidP="00951058">
      <w:pPr>
        <w:keepNext/>
        <w:keepLines/>
        <w:spacing w:before="240" w:after="120"/>
        <w:rPr>
          <w:rFonts w:asciiTheme="minorHAnsi" w:hAnsiTheme="minorHAnsi" w:cstheme="minorHAnsi"/>
          <w:b/>
          <w:sz w:val="22"/>
          <w:szCs w:val="22"/>
        </w:rPr>
      </w:pPr>
      <w:r>
        <w:rPr>
          <w:rFonts w:asciiTheme="minorHAnsi" w:hAnsiTheme="minorHAnsi" w:cstheme="minorHAnsi"/>
          <w:b/>
          <w:sz w:val="22"/>
          <w:szCs w:val="22"/>
        </w:rPr>
        <w:lastRenderedPageBreak/>
        <w:t>Expected impacts of not expanding the Scheme’s eligibility requirements (maintaining the status quo)</w:t>
      </w:r>
    </w:p>
    <w:p w14:paraId="21226FD2" w14:textId="4B4A2C18" w:rsidR="00951058" w:rsidRDefault="001A2BC5" w:rsidP="00951058">
      <w:pPr>
        <w:keepNext/>
        <w:keepLines/>
        <w:rPr>
          <w:rFonts w:asciiTheme="minorHAnsi" w:hAnsiTheme="minorHAnsi" w:cstheme="minorHAnsi"/>
          <w:sz w:val="22"/>
          <w:szCs w:val="22"/>
        </w:rPr>
      </w:pPr>
      <w:r>
        <w:rPr>
          <w:rFonts w:asciiTheme="minorHAnsi" w:hAnsiTheme="minorHAnsi" w:cstheme="minorHAnsi"/>
          <w:sz w:val="22"/>
          <w:szCs w:val="22"/>
        </w:rPr>
        <w:t>Section 5</w:t>
      </w:r>
      <w:r w:rsidR="00B076EC">
        <w:rPr>
          <w:rFonts w:asciiTheme="minorHAnsi" w:hAnsiTheme="minorHAnsi" w:cstheme="minorHAnsi"/>
          <w:sz w:val="22"/>
          <w:szCs w:val="22"/>
        </w:rPr>
        <w:t xml:space="preserve">.1 of the RIS </w:t>
      </w:r>
      <w:r w:rsidR="00C64075">
        <w:rPr>
          <w:rFonts w:asciiTheme="minorHAnsi" w:hAnsiTheme="minorHAnsi" w:cstheme="minorHAnsi"/>
          <w:sz w:val="22"/>
          <w:szCs w:val="22"/>
        </w:rPr>
        <w:t xml:space="preserve">provides details of the current arrangements under the Scheme and </w:t>
      </w:r>
      <w:r w:rsidR="00387DC4">
        <w:rPr>
          <w:rFonts w:asciiTheme="minorHAnsi" w:hAnsiTheme="minorHAnsi" w:cstheme="minorHAnsi"/>
          <w:sz w:val="22"/>
          <w:szCs w:val="22"/>
        </w:rPr>
        <w:t>analys</w:t>
      </w:r>
      <w:r w:rsidR="00C64075">
        <w:rPr>
          <w:rFonts w:asciiTheme="minorHAnsi" w:hAnsiTheme="minorHAnsi" w:cstheme="minorHAnsi"/>
          <w:sz w:val="22"/>
          <w:szCs w:val="22"/>
        </w:rPr>
        <w:t>e</w:t>
      </w:r>
      <w:r w:rsidR="00387DC4">
        <w:rPr>
          <w:rFonts w:asciiTheme="minorHAnsi" w:hAnsiTheme="minorHAnsi" w:cstheme="minorHAnsi"/>
          <w:sz w:val="22"/>
          <w:szCs w:val="22"/>
        </w:rPr>
        <w:t xml:space="preserve">s </w:t>
      </w:r>
      <w:r w:rsidR="00A816F4" w:rsidRPr="00E90CDB">
        <w:rPr>
          <w:rFonts w:asciiTheme="minorHAnsi" w:hAnsiTheme="minorHAnsi" w:cstheme="minorHAnsi"/>
          <w:sz w:val="22"/>
          <w:szCs w:val="22"/>
        </w:rPr>
        <w:t>the status quo option</w:t>
      </w:r>
      <w:r w:rsidR="00C64075">
        <w:rPr>
          <w:rFonts w:asciiTheme="minorHAnsi" w:hAnsiTheme="minorHAnsi" w:cstheme="minorHAnsi"/>
          <w:sz w:val="22"/>
          <w:szCs w:val="22"/>
        </w:rPr>
        <w:t>. The includes details of</w:t>
      </w:r>
      <w:r w:rsidR="00951058">
        <w:rPr>
          <w:rFonts w:asciiTheme="minorHAnsi" w:hAnsiTheme="minorHAnsi" w:cstheme="minorHAnsi"/>
          <w:sz w:val="22"/>
          <w:szCs w:val="22"/>
        </w:rPr>
        <w:t>:</w:t>
      </w:r>
    </w:p>
    <w:p w14:paraId="0FF28B0F" w14:textId="16F12997" w:rsidR="00951058" w:rsidRDefault="000B79F7" w:rsidP="00951058">
      <w:pPr>
        <w:pStyle w:val="ListParagraph"/>
        <w:keepNext/>
        <w:keepLines/>
        <w:numPr>
          <w:ilvl w:val="0"/>
          <w:numId w:val="6"/>
        </w:numPr>
        <w:spacing w:before="120"/>
        <w:contextualSpacing w:val="0"/>
        <w:rPr>
          <w:rFonts w:asciiTheme="minorHAnsi" w:hAnsiTheme="minorHAnsi" w:cstheme="minorHAnsi"/>
          <w:sz w:val="22"/>
          <w:szCs w:val="22"/>
        </w:rPr>
      </w:pPr>
      <w:r w:rsidRPr="00E90CDB">
        <w:rPr>
          <w:rFonts w:asciiTheme="minorHAnsi" w:hAnsiTheme="minorHAnsi" w:cstheme="minorHAnsi"/>
          <w:sz w:val="22"/>
          <w:szCs w:val="22"/>
        </w:rPr>
        <w:t xml:space="preserve">the number of ADF members and veterans who are currently eligible </w:t>
      </w:r>
      <w:r w:rsidR="00951058">
        <w:rPr>
          <w:rFonts w:asciiTheme="minorHAnsi" w:hAnsiTheme="minorHAnsi" w:cstheme="minorHAnsi"/>
          <w:sz w:val="22"/>
          <w:szCs w:val="22"/>
        </w:rPr>
        <w:t xml:space="preserve">(284,024) </w:t>
      </w:r>
      <w:r w:rsidRPr="00E90CDB">
        <w:rPr>
          <w:rFonts w:asciiTheme="minorHAnsi" w:hAnsiTheme="minorHAnsi" w:cstheme="minorHAnsi"/>
          <w:sz w:val="22"/>
          <w:szCs w:val="22"/>
        </w:rPr>
        <w:t xml:space="preserve">and ineligible </w:t>
      </w:r>
      <w:r w:rsidR="00951058">
        <w:rPr>
          <w:rFonts w:asciiTheme="minorHAnsi" w:hAnsiTheme="minorHAnsi" w:cstheme="minorHAnsi"/>
          <w:sz w:val="22"/>
          <w:szCs w:val="22"/>
        </w:rPr>
        <w:t xml:space="preserve">(347,776) </w:t>
      </w:r>
      <w:r w:rsidRPr="00E90CDB">
        <w:rPr>
          <w:rFonts w:asciiTheme="minorHAnsi" w:hAnsiTheme="minorHAnsi" w:cstheme="minorHAnsi"/>
          <w:sz w:val="22"/>
          <w:szCs w:val="22"/>
        </w:rPr>
        <w:t>for the Scheme</w:t>
      </w:r>
      <w:r w:rsidR="00A816F4" w:rsidRPr="00E90CDB">
        <w:rPr>
          <w:rFonts w:asciiTheme="minorHAnsi" w:hAnsiTheme="minorHAnsi" w:cstheme="minorHAnsi"/>
          <w:sz w:val="22"/>
          <w:szCs w:val="22"/>
        </w:rPr>
        <w:t xml:space="preserve"> </w:t>
      </w:r>
      <w:r w:rsidR="00951058">
        <w:rPr>
          <w:rFonts w:asciiTheme="minorHAnsi" w:hAnsiTheme="minorHAnsi" w:cstheme="minorHAnsi"/>
          <w:sz w:val="22"/>
          <w:szCs w:val="22"/>
        </w:rPr>
        <w:t xml:space="preserve">– refer </w:t>
      </w:r>
      <w:r w:rsidR="00A816F4" w:rsidRPr="00E90CDB">
        <w:rPr>
          <w:rFonts w:asciiTheme="minorHAnsi" w:hAnsiTheme="minorHAnsi" w:cstheme="minorHAnsi"/>
          <w:sz w:val="22"/>
          <w:szCs w:val="22"/>
        </w:rPr>
        <w:t xml:space="preserve">see Table 1, and </w:t>
      </w:r>
    </w:p>
    <w:p w14:paraId="1D5F13E7" w14:textId="5BD2FDC8" w:rsidR="00951058" w:rsidRDefault="00A816F4" w:rsidP="00951058">
      <w:pPr>
        <w:pStyle w:val="ListParagraph"/>
        <w:numPr>
          <w:ilvl w:val="0"/>
          <w:numId w:val="6"/>
        </w:numPr>
        <w:spacing w:before="120"/>
        <w:contextualSpacing w:val="0"/>
        <w:rPr>
          <w:rFonts w:asciiTheme="minorHAnsi" w:hAnsiTheme="minorHAnsi" w:cstheme="minorHAnsi"/>
          <w:sz w:val="22"/>
          <w:szCs w:val="22"/>
        </w:rPr>
      </w:pPr>
      <w:r w:rsidRPr="00E90CDB">
        <w:rPr>
          <w:rFonts w:asciiTheme="minorHAnsi" w:hAnsiTheme="minorHAnsi" w:cstheme="minorHAnsi"/>
          <w:sz w:val="22"/>
          <w:szCs w:val="22"/>
        </w:rPr>
        <w:t>the benefits (i.e.</w:t>
      </w:r>
      <w:r w:rsidR="00F548E4" w:rsidRPr="00E90CDB">
        <w:rPr>
          <w:rFonts w:asciiTheme="minorHAnsi" w:hAnsiTheme="minorHAnsi" w:cstheme="minorHAnsi"/>
          <w:sz w:val="22"/>
          <w:szCs w:val="22"/>
        </w:rPr>
        <w:t> </w:t>
      </w:r>
      <w:r w:rsidRPr="00E90CDB">
        <w:rPr>
          <w:rFonts w:asciiTheme="minorHAnsi" w:hAnsiTheme="minorHAnsi" w:cstheme="minorHAnsi"/>
          <w:sz w:val="22"/>
          <w:szCs w:val="22"/>
        </w:rPr>
        <w:t>savings) received by policyholders under the current arrangements</w:t>
      </w:r>
      <w:r w:rsidR="00951058">
        <w:rPr>
          <w:rFonts w:asciiTheme="minorHAnsi" w:hAnsiTheme="minorHAnsi" w:cstheme="minorHAnsi"/>
          <w:sz w:val="22"/>
          <w:szCs w:val="22"/>
        </w:rPr>
        <w:t>, estimated at almost $42 million - refer Table 2</w:t>
      </w:r>
      <w:r w:rsidR="00B076EC">
        <w:rPr>
          <w:rFonts w:asciiTheme="minorHAnsi" w:hAnsiTheme="minorHAnsi" w:cstheme="minorHAnsi"/>
          <w:sz w:val="22"/>
          <w:szCs w:val="22"/>
        </w:rPr>
        <w:t>.</w:t>
      </w:r>
      <w:r w:rsidR="00A33136">
        <w:rPr>
          <w:rFonts w:asciiTheme="minorHAnsi" w:hAnsiTheme="minorHAnsi" w:cstheme="minorHAnsi"/>
          <w:sz w:val="22"/>
          <w:szCs w:val="22"/>
        </w:rPr>
        <w:t xml:space="preserve"> </w:t>
      </w:r>
    </w:p>
    <w:p w14:paraId="44274AE1" w14:textId="77777777" w:rsidR="00951058" w:rsidRDefault="00951058" w:rsidP="00951058">
      <w:pPr>
        <w:keepNext/>
        <w:keepLines/>
        <w:rPr>
          <w:rFonts w:asciiTheme="minorHAnsi" w:hAnsiTheme="minorHAnsi" w:cstheme="minorHAnsi"/>
          <w:sz w:val="22"/>
          <w:szCs w:val="22"/>
        </w:rPr>
      </w:pPr>
    </w:p>
    <w:p w14:paraId="5ECDB48A" w14:textId="392F4A93" w:rsidR="00951058" w:rsidRDefault="00B076EC" w:rsidP="00951058">
      <w:pPr>
        <w:keepNext/>
        <w:keepLines/>
        <w:rPr>
          <w:rFonts w:asciiTheme="minorHAnsi" w:hAnsiTheme="minorHAnsi" w:cstheme="minorHAnsi"/>
          <w:sz w:val="22"/>
          <w:szCs w:val="22"/>
        </w:rPr>
      </w:pPr>
      <w:r>
        <w:rPr>
          <w:rFonts w:asciiTheme="minorHAnsi" w:hAnsiTheme="minorHAnsi" w:cstheme="minorHAnsi"/>
          <w:sz w:val="22"/>
          <w:szCs w:val="22"/>
        </w:rPr>
        <w:t xml:space="preserve">Section </w:t>
      </w:r>
      <w:r w:rsidR="001A2BC5">
        <w:rPr>
          <w:rFonts w:asciiTheme="minorHAnsi" w:hAnsiTheme="minorHAnsi" w:cstheme="minorHAnsi"/>
          <w:sz w:val="22"/>
          <w:szCs w:val="22"/>
        </w:rPr>
        <w:t>5</w:t>
      </w:r>
      <w:r>
        <w:rPr>
          <w:rFonts w:asciiTheme="minorHAnsi" w:hAnsiTheme="minorHAnsi" w:cstheme="minorHAnsi"/>
          <w:sz w:val="22"/>
          <w:szCs w:val="22"/>
        </w:rPr>
        <w:t xml:space="preserve">.1 </w:t>
      </w:r>
      <w:r w:rsidR="00A33136">
        <w:rPr>
          <w:rFonts w:asciiTheme="minorHAnsi" w:hAnsiTheme="minorHAnsi" w:cstheme="minorHAnsi"/>
          <w:sz w:val="22"/>
          <w:szCs w:val="22"/>
        </w:rPr>
        <w:t>highlights that maintaining the status quo will mean that</w:t>
      </w:r>
      <w:r w:rsidR="00951058">
        <w:rPr>
          <w:rFonts w:asciiTheme="minorHAnsi" w:hAnsiTheme="minorHAnsi" w:cstheme="minorHAnsi"/>
          <w:sz w:val="22"/>
          <w:szCs w:val="22"/>
        </w:rPr>
        <w:t>:</w:t>
      </w:r>
    </w:p>
    <w:p w14:paraId="01EDD5D6" w14:textId="0B83437E" w:rsidR="00951058" w:rsidRDefault="00A33136" w:rsidP="00951058">
      <w:pPr>
        <w:pStyle w:val="ListParagraph"/>
        <w:keepNext/>
        <w:keepLines/>
        <w:numPr>
          <w:ilvl w:val="0"/>
          <w:numId w:val="6"/>
        </w:numPr>
        <w:spacing w:before="120"/>
        <w:contextualSpacing w:val="0"/>
        <w:rPr>
          <w:rFonts w:asciiTheme="minorHAnsi" w:hAnsiTheme="minorHAnsi" w:cstheme="minorHAnsi"/>
          <w:sz w:val="22"/>
          <w:szCs w:val="22"/>
        </w:rPr>
      </w:pPr>
      <w:r>
        <w:rPr>
          <w:rFonts w:asciiTheme="minorHAnsi" w:hAnsiTheme="minorHAnsi" w:cstheme="minorHAnsi"/>
          <w:sz w:val="22"/>
          <w:szCs w:val="22"/>
        </w:rPr>
        <w:t>more than 300,000 ADF members and veterans will continue to be excluded from the Scheme and unable to benefit from the Scheme’s concessional insurance</w:t>
      </w:r>
      <w:r w:rsidR="00951058">
        <w:rPr>
          <w:rFonts w:asciiTheme="minorHAnsi" w:hAnsiTheme="minorHAnsi" w:cstheme="minorHAnsi"/>
          <w:sz w:val="22"/>
          <w:szCs w:val="22"/>
        </w:rPr>
        <w:t>, and</w:t>
      </w:r>
    </w:p>
    <w:p w14:paraId="0774439A" w14:textId="77777777" w:rsidR="00951058" w:rsidRDefault="00A33136" w:rsidP="00951058">
      <w:pPr>
        <w:pStyle w:val="ListParagraph"/>
        <w:keepNext/>
        <w:keepLines/>
        <w:numPr>
          <w:ilvl w:val="0"/>
          <w:numId w:val="6"/>
        </w:numPr>
        <w:spacing w:before="120"/>
        <w:contextualSpacing w:val="0"/>
        <w:rPr>
          <w:rFonts w:asciiTheme="minorHAnsi" w:hAnsiTheme="minorHAnsi" w:cstheme="minorHAnsi"/>
          <w:sz w:val="22"/>
          <w:szCs w:val="22"/>
        </w:rPr>
      </w:pPr>
      <w:r>
        <w:rPr>
          <w:rFonts w:asciiTheme="minorHAnsi" w:hAnsiTheme="minorHAnsi" w:cstheme="minorHAnsi"/>
          <w:sz w:val="22"/>
          <w:szCs w:val="22"/>
        </w:rPr>
        <w:t xml:space="preserve">the Scheme’s policy base will continue to decline as a result of its ageing profile, which will thereby have a negative impact on the commercial viability of the </w:t>
      </w:r>
      <w:r w:rsidR="00B076EC">
        <w:rPr>
          <w:rFonts w:asciiTheme="minorHAnsi" w:hAnsiTheme="minorHAnsi" w:cstheme="minorHAnsi"/>
          <w:sz w:val="22"/>
          <w:szCs w:val="22"/>
        </w:rPr>
        <w:t>Scheme</w:t>
      </w:r>
      <w:r>
        <w:rPr>
          <w:rFonts w:asciiTheme="minorHAnsi" w:hAnsiTheme="minorHAnsi" w:cstheme="minorHAnsi"/>
          <w:sz w:val="22"/>
          <w:szCs w:val="22"/>
        </w:rPr>
        <w:t>.</w:t>
      </w:r>
      <w:r w:rsidR="00951058">
        <w:rPr>
          <w:rFonts w:asciiTheme="minorHAnsi" w:hAnsiTheme="minorHAnsi" w:cstheme="minorHAnsi"/>
          <w:sz w:val="22"/>
          <w:szCs w:val="22"/>
        </w:rPr>
        <w:t xml:space="preserve"> </w:t>
      </w:r>
    </w:p>
    <w:p w14:paraId="6A2BA26A" w14:textId="0FDE1851" w:rsidR="00B076EC" w:rsidRPr="00951058" w:rsidRDefault="00951058" w:rsidP="00951058">
      <w:pPr>
        <w:keepNext/>
        <w:keepLines/>
        <w:spacing w:before="120"/>
        <w:rPr>
          <w:rFonts w:asciiTheme="minorHAnsi" w:hAnsiTheme="minorHAnsi" w:cstheme="minorHAnsi"/>
          <w:sz w:val="22"/>
          <w:szCs w:val="22"/>
        </w:rPr>
      </w:pPr>
      <w:r>
        <w:rPr>
          <w:rFonts w:asciiTheme="minorHAnsi" w:hAnsiTheme="minorHAnsi" w:cstheme="minorHAnsi"/>
          <w:sz w:val="22"/>
          <w:szCs w:val="22"/>
        </w:rPr>
        <w:t xml:space="preserve">Compared to the option of expanding the Scheme’s eligibility requirements, maintaining the status quo </w:t>
      </w:r>
      <w:r w:rsidRPr="00951058">
        <w:rPr>
          <w:rFonts w:asciiTheme="minorHAnsi" w:hAnsiTheme="minorHAnsi" w:cstheme="minorHAnsi"/>
          <w:sz w:val="22"/>
          <w:szCs w:val="22"/>
        </w:rPr>
        <w:t>could</w:t>
      </w:r>
      <w:r>
        <w:rPr>
          <w:rFonts w:asciiTheme="minorHAnsi" w:hAnsiTheme="minorHAnsi" w:cstheme="minorHAnsi"/>
          <w:sz w:val="22"/>
          <w:szCs w:val="22"/>
        </w:rPr>
        <w:t xml:space="preserve"> </w:t>
      </w:r>
      <w:r w:rsidRPr="00951058">
        <w:rPr>
          <w:rFonts w:asciiTheme="minorHAnsi" w:hAnsiTheme="minorHAnsi" w:cstheme="minorHAnsi"/>
          <w:sz w:val="22"/>
          <w:szCs w:val="22"/>
        </w:rPr>
        <w:t>benefit commercial insurers as they would not los</w:t>
      </w:r>
      <w:r>
        <w:rPr>
          <w:rFonts w:asciiTheme="minorHAnsi" w:hAnsiTheme="minorHAnsi" w:cstheme="minorHAnsi"/>
          <w:sz w:val="22"/>
          <w:szCs w:val="22"/>
        </w:rPr>
        <w:t>e any of their</w:t>
      </w:r>
      <w:r w:rsidRPr="00951058">
        <w:rPr>
          <w:rFonts w:asciiTheme="minorHAnsi" w:hAnsiTheme="minorHAnsi" w:cstheme="minorHAnsi"/>
          <w:sz w:val="22"/>
          <w:szCs w:val="22"/>
        </w:rPr>
        <w:t xml:space="preserve"> market share. </w:t>
      </w:r>
    </w:p>
    <w:p w14:paraId="34249331" w14:textId="71F84F85" w:rsidR="00254BB1" w:rsidRPr="00E90CDB" w:rsidRDefault="00254BB1" w:rsidP="00951058">
      <w:pPr>
        <w:keepNext/>
        <w:spacing w:before="240" w:after="240"/>
        <w:rPr>
          <w:rFonts w:asciiTheme="minorHAnsi" w:hAnsiTheme="minorHAnsi" w:cstheme="minorHAnsi"/>
          <w:b/>
          <w:sz w:val="22"/>
          <w:szCs w:val="22"/>
        </w:rPr>
      </w:pPr>
      <w:r>
        <w:rPr>
          <w:rFonts w:asciiTheme="minorHAnsi" w:hAnsiTheme="minorHAnsi" w:cstheme="minorHAnsi"/>
          <w:b/>
          <w:sz w:val="22"/>
          <w:szCs w:val="22"/>
        </w:rPr>
        <w:t>Expected impacts of expanding the Scheme’s eligibility requirements for ADF members and veterans and other insurers</w:t>
      </w:r>
    </w:p>
    <w:p w14:paraId="105B191D" w14:textId="078C776A" w:rsidR="005036E3" w:rsidRDefault="000929D7" w:rsidP="00EA0366">
      <w:pPr>
        <w:rPr>
          <w:rFonts w:asciiTheme="minorHAnsi" w:hAnsiTheme="minorHAnsi" w:cstheme="minorHAnsi"/>
          <w:sz w:val="22"/>
          <w:szCs w:val="22"/>
        </w:rPr>
      </w:pPr>
      <w:r w:rsidRPr="00E90CDB">
        <w:rPr>
          <w:rFonts w:asciiTheme="minorHAnsi" w:hAnsiTheme="minorHAnsi" w:cstheme="minorHAnsi"/>
          <w:sz w:val="22"/>
          <w:szCs w:val="22"/>
        </w:rPr>
        <w:t xml:space="preserve">Section </w:t>
      </w:r>
      <w:r w:rsidR="001A2BC5">
        <w:rPr>
          <w:rFonts w:asciiTheme="minorHAnsi" w:hAnsiTheme="minorHAnsi" w:cstheme="minorHAnsi"/>
          <w:sz w:val="22"/>
          <w:szCs w:val="22"/>
        </w:rPr>
        <w:t>5</w:t>
      </w:r>
      <w:r w:rsidRPr="00E90CDB">
        <w:rPr>
          <w:rFonts w:asciiTheme="minorHAnsi" w:hAnsiTheme="minorHAnsi" w:cstheme="minorHAnsi"/>
          <w:sz w:val="22"/>
          <w:szCs w:val="22"/>
        </w:rPr>
        <w:t xml:space="preserve">.2 of the RIS </w:t>
      </w:r>
      <w:r w:rsidR="00C64075">
        <w:rPr>
          <w:rFonts w:asciiTheme="minorHAnsi" w:hAnsiTheme="minorHAnsi" w:cstheme="minorHAnsi"/>
          <w:sz w:val="22"/>
          <w:szCs w:val="22"/>
        </w:rPr>
        <w:t xml:space="preserve">identifies that an additional 347,776 ADF members and veterans would be able to access the scheme should the Scheme’s eligibility requirements be expanded, and </w:t>
      </w:r>
      <w:r w:rsidR="002D43C2">
        <w:rPr>
          <w:rFonts w:asciiTheme="minorHAnsi" w:hAnsiTheme="minorHAnsi" w:cstheme="minorHAnsi"/>
          <w:sz w:val="22"/>
          <w:szCs w:val="22"/>
        </w:rPr>
        <w:t xml:space="preserve">projects </w:t>
      </w:r>
      <w:r w:rsidRPr="00E90CDB">
        <w:rPr>
          <w:rFonts w:asciiTheme="minorHAnsi" w:hAnsiTheme="minorHAnsi" w:cstheme="minorHAnsi"/>
          <w:sz w:val="22"/>
          <w:szCs w:val="22"/>
        </w:rPr>
        <w:t>th</w:t>
      </w:r>
      <w:r w:rsidR="002D43C2">
        <w:rPr>
          <w:rFonts w:asciiTheme="minorHAnsi" w:hAnsiTheme="minorHAnsi" w:cstheme="minorHAnsi"/>
          <w:sz w:val="22"/>
          <w:szCs w:val="22"/>
        </w:rPr>
        <w:t>at</w:t>
      </w:r>
      <w:r w:rsidR="00C64075">
        <w:rPr>
          <w:rFonts w:asciiTheme="minorHAnsi" w:hAnsiTheme="minorHAnsi" w:cstheme="minorHAnsi"/>
          <w:sz w:val="22"/>
          <w:szCs w:val="22"/>
        </w:rPr>
        <w:t xml:space="preserve"> as a result of this</w:t>
      </w:r>
      <w:r w:rsidR="005036E3">
        <w:rPr>
          <w:rFonts w:asciiTheme="minorHAnsi" w:hAnsiTheme="minorHAnsi" w:cstheme="minorHAnsi"/>
          <w:sz w:val="22"/>
          <w:szCs w:val="22"/>
        </w:rPr>
        <w:t>:</w:t>
      </w:r>
    </w:p>
    <w:p w14:paraId="189AC4C5" w14:textId="1B21A2F8" w:rsidR="005036E3" w:rsidRDefault="002D43C2" w:rsidP="005036E3">
      <w:pPr>
        <w:pStyle w:val="ListParagraph"/>
        <w:keepNext/>
        <w:keepLines/>
        <w:numPr>
          <w:ilvl w:val="0"/>
          <w:numId w:val="6"/>
        </w:numPr>
        <w:spacing w:before="120"/>
        <w:contextualSpacing w:val="0"/>
        <w:rPr>
          <w:rFonts w:asciiTheme="minorHAnsi" w:hAnsiTheme="minorHAnsi" w:cstheme="minorHAnsi"/>
          <w:sz w:val="22"/>
          <w:szCs w:val="22"/>
        </w:rPr>
      </w:pPr>
      <w:r>
        <w:rPr>
          <w:rFonts w:asciiTheme="minorHAnsi" w:hAnsiTheme="minorHAnsi" w:cstheme="minorHAnsi"/>
          <w:sz w:val="22"/>
          <w:szCs w:val="22"/>
        </w:rPr>
        <w:t>the Scheme’s market share w</w:t>
      </w:r>
      <w:r w:rsidR="005036E3">
        <w:rPr>
          <w:rFonts w:asciiTheme="minorHAnsi" w:hAnsiTheme="minorHAnsi" w:cstheme="minorHAnsi"/>
          <w:sz w:val="22"/>
          <w:szCs w:val="22"/>
        </w:rPr>
        <w:t xml:space="preserve">ould </w:t>
      </w:r>
      <w:r>
        <w:rPr>
          <w:rFonts w:asciiTheme="minorHAnsi" w:hAnsiTheme="minorHAnsi" w:cstheme="minorHAnsi"/>
          <w:sz w:val="22"/>
          <w:szCs w:val="22"/>
        </w:rPr>
        <w:t xml:space="preserve">grow by </w:t>
      </w:r>
      <w:r w:rsidR="000929D7" w:rsidRPr="00E90CDB">
        <w:rPr>
          <w:rFonts w:asciiTheme="minorHAnsi" w:hAnsiTheme="minorHAnsi" w:cstheme="minorHAnsi"/>
          <w:sz w:val="22"/>
          <w:szCs w:val="22"/>
        </w:rPr>
        <w:t>0.2 percent</w:t>
      </w:r>
      <w:r>
        <w:rPr>
          <w:rFonts w:asciiTheme="minorHAnsi" w:hAnsiTheme="minorHAnsi" w:cstheme="minorHAnsi"/>
          <w:sz w:val="22"/>
          <w:szCs w:val="22"/>
        </w:rPr>
        <w:t xml:space="preserve"> over the next five years </w:t>
      </w:r>
      <w:r w:rsidR="005036E3">
        <w:rPr>
          <w:rFonts w:asciiTheme="minorHAnsi" w:hAnsiTheme="minorHAnsi" w:cstheme="minorHAnsi"/>
          <w:sz w:val="22"/>
          <w:szCs w:val="22"/>
        </w:rPr>
        <w:t xml:space="preserve">- </w:t>
      </w:r>
      <w:r w:rsidR="000929D7" w:rsidRPr="00E90CDB">
        <w:rPr>
          <w:rFonts w:asciiTheme="minorHAnsi" w:hAnsiTheme="minorHAnsi" w:cstheme="minorHAnsi"/>
          <w:sz w:val="22"/>
          <w:szCs w:val="22"/>
        </w:rPr>
        <w:t>refer Table 4</w:t>
      </w:r>
      <w:r w:rsidR="00387DC4">
        <w:rPr>
          <w:rFonts w:asciiTheme="minorHAnsi" w:hAnsiTheme="minorHAnsi" w:cstheme="minorHAnsi"/>
          <w:sz w:val="22"/>
          <w:szCs w:val="22"/>
        </w:rPr>
        <w:t xml:space="preserve">, and </w:t>
      </w:r>
    </w:p>
    <w:p w14:paraId="4E9EFA9E" w14:textId="263A95FB" w:rsidR="00254BB1" w:rsidRDefault="005036E3" w:rsidP="005036E3">
      <w:pPr>
        <w:pStyle w:val="ListParagraph"/>
        <w:keepNext/>
        <w:keepLines/>
        <w:numPr>
          <w:ilvl w:val="0"/>
          <w:numId w:val="6"/>
        </w:numPr>
        <w:spacing w:before="120"/>
        <w:contextualSpacing w:val="0"/>
        <w:rPr>
          <w:rFonts w:asciiTheme="minorHAnsi" w:hAnsiTheme="minorHAnsi" w:cstheme="minorHAnsi"/>
          <w:sz w:val="22"/>
          <w:szCs w:val="22"/>
        </w:rPr>
      </w:pPr>
      <w:r>
        <w:rPr>
          <w:rFonts w:asciiTheme="minorHAnsi" w:hAnsiTheme="minorHAnsi" w:cstheme="minorHAnsi"/>
          <w:sz w:val="22"/>
          <w:szCs w:val="22"/>
        </w:rPr>
        <w:t>ne</w:t>
      </w:r>
      <w:r w:rsidRPr="00E90CDB">
        <w:rPr>
          <w:rFonts w:asciiTheme="minorHAnsi" w:hAnsiTheme="minorHAnsi" w:cstheme="minorHAnsi"/>
          <w:sz w:val="22"/>
          <w:szCs w:val="22"/>
        </w:rPr>
        <w:t xml:space="preserve">w policyholders who take out </w:t>
      </w:r>
      <w:r>
        <w:rPr>
          <w:rFonts w:asciiTheme="minorHAnsi" w:hAnsiTheme="minorHAnsi" w:cstheme="minorHAnsi"/>
          <w:sz w:val="22"/>
          <w:szCs w:val="22"/>
        </w:rPr>
        <w:t xml:space="preserve">home building </w:t>
      </w:r>
      <w:r w:rsidRPr="00E90CDB">
        <w:rPr>
          <w:rFonts w:asciiTheme="minorHAnsi" w:hAnsiTheme="minorHAnsi" w:cstheme="minorHAnsi"/>
          <w:sz w:val="22"/>
          <w:szCs w:val="22"/>
        </w:rPr>
        <w:t xml:space="preserve">insurance as a result of becoming eligible for the Scheme </w:t>
      </w:r>
      <w:r>
        <w:rPr>
          <w:rFonts w:asciiTheme="minorHAnsi" w:hAnsiTheme="minorHAnsi" w:cstheme="minorHAnsi"/>
          <w:sz w:val="22"/>
          <w:szCs w:val="22"/>
        </w:rPr>
        <w:t xml:space="preserve">would </w:t>
      </w:r>
      <w:r w:rsidRPr="00E90CDB">
        <w:rPr>
          <w:rFonts w:asciiTheme="minorHAnsi" w:hAnsiTheme="minorHAnsi" w:cstheme="minorHAnsi"/>
          <w:sz w:val="22"/>
          <w:szCs w:val="22"/>
        </w:rPr>
        <w:t>save around $11 million per year</w:t>
      </w:r>
      <w:r>
        <w:rPr>
          <w:rFonts w:asciiTheme="minorHAnsi" w:hAnsiTheme="minorHAnsi" w:cstheme="minorHAnsi"/>
          <w:sz w:val="22"/>
          <w:szCs w:val="22"/>
        </w:rPr>
        <w:t xml:space="preserve"> due to </w:t>
      </w:r>
      <w:r w:rsidR="000929D7" w:rsidRPr="00E90CDB">
        <w:rPr>
          <w:rFonts w:asciiTheme="minorHAnsi" w:hAnsiTheme="minorHAnsi" w:cstheme="minorHAnsi"/>
          <w:sz w:val="22"/>
          <w:szCs w:val="22"/>
        </w:rPr>
        <w:t xml:space="preserve">the Scheme’s premiums </w:t>
      </w:r>
      <w:r>
        <w:rPr>
          <w:rFonts w:asciiTheme="minorHAnsi" w:hAnsiTheme="minorHAnsi" w:cstheme="minorHAnsi"/>
          <w:sz w:val="22"/>
          <w:szCs w:val="22"/>
        </w:rPr>
        <w:t xml:space="preserve">being, on average, </w:t>
      </w:r>
      <w:r w:rsidR="000929D7" w:rsidRPr="00E90CDB">
        <w:rPr>
          <w:rFonts w:asciiTheme="minorHAnsi" w:hAnsiTheme="minorHAnsi" w:cstheme="minorHAnsi"/>
          <w:sz w:val="22"/>
          <w:szCs w:val="22"/>
        </w:rPr>
        <w:t xml:space="preserve">35 percent lower than that provided by other insurers </w:t>
      </w:r>
      <w:r>
        <w:rPr>
          <w:rFonts w:asciiTheme="minorHAnsi" w:hAnsiTheme="minorHAnsi" w:cstheme="minorHAnsi"/>
          <w:sz w:val="22"/>
          <w:szCs w:val="22"/>
        </w:rPr>
        <w:t>- refer Table 5</w:t>
      </w:r>
      <w:r w:rsidR="000929D7" w:rsidRPr="00E90CDB">
        <w:rPr>
          <w:rFonts w:asciiTheme="minorHAnsi" w:hAnsiTheme="minorHAnsi" w:cstheme="minorHAnsi"/>
          <w:sz w:val="22"/>
          <w:szCs w:val="22"/>
        </w:rPr>
        <w:t xml:space="preserve">. </w:t>
      </w:r>
    </w:p>
    <w:p w14:paraId="4591515D" w14:textId="77777777" w:rsidR="00C64075" w:rsidRDefault="00C64075" w:rsidP="00C64075">
      <w:pPr>
        <w:rPr>
          <w:rFonts w:asciiTheme="minorHAnsi" w:hAnsiTheme="minorHAnsi" w:cstheme="minorHAnsi"/>
          <w:sz w:val="22"/>
          <w:szCs w:val="22"/>
        </w:rPr>
      </w:pPr>
    </w:p>
    <w:p w14:paraId="522DDB50" w14:textId="1EEDF6FC" w:rsidR="000929D7" w:rsidRDefault="005036E3" w:rsidP="00C64075">
      <w:pPr>
        <w:rPr>
          <w:rFonts w:asciiTheme="minorHAnsi" w:hAnsiTheme="minorHAnsi" w:cstheme="minorHAnsi"/>
          <w:sz w:val="22"/>
          <w:szCs w:val="22"/>
        </w:rPr>
      </w:pPr>
      <w:r>
        <w:rPr>
          <w:rFonts w:asciiTheme="minorHAnsi" w:hAnsiTheme="minorHAnsi" w:cstheme="minorHAnsi"/>
          <w:sz w:val="22"/>
          <w:szCs w:val="22"/>
        </w:rPr>
        <w:t xml:space="preserve">Savings achieved by new policyholders would </w:t>
      </w:r>
      <w:r w:rsidR="000929D7" w:rsidRPr="00E90CDB">
        <w:rPr>
          <w:rFonts w:asciiTheme="minorHAnsi" w:hAnsiTheme="minorHAnsi" w:cstheme="minorHAnsi"/>
          <w:sz w:val="22"/>
          <w:szCs w:val="22"/>
        </w:rPr>
        <w:t>ease cost of living pressures for these individuals</w:t>
      </w:r>
      <w:r w:rsidR="00340421">
        <w:rPr>
          <w:rFonts w:asciiTheme="minorHAnsi" w:hAnsiTheme="minorHAnsi" w:cstheme="minorHAnsi"/>
          <w:sz w:val="22"/>
          <w:szCs w:val="22"/>
        </w:rPr>
        <w:t xml:space="preserve"> by the same amount</w:t>
      </w:r>
      <w:r w:rsidR="000929D7" w:rsidRPr="00E90CDB">
        <w:rPr>
          <w:rFonts w:asciiTheme="minorHAnsi" w:hAnsiTheme="minorHAnsi" w:cstheme="minorHAnsi"/>
          <w:sz w:val="22"/>
          <w:szCs w:val="22"/>
        </w:rPr>
        <w:t>.</w:t>
      </w:r>
    </w:p>
    <w:p w14:paraId="1602EAA7" w14:textId="6D15F404" w:rsidR="00254BB1" w:rsidRDefault="00254BB1" w:rsidP="00EA0366">
      <w:pPr>
        <w:rPr>
          <w:rFonts w:asciiTheme="minorHAnsi" w:hAnsiTheme="minorHAnsi" w:cstheme="minorHAnsi"/>
          <w:sz w:val="22"/>
          <w:szCs w:val="22"/>
        </w:rPr>
      </w:pPr>
    </w:p>
    <w:p w14:paraId="180A3C98" w14:textId="059FFAE4" w:rsidR="00254BB1" w:rsidRPr="00E90CDB" w:rsidRDefault="001A2BC5" w:rsidP="00254BB1">
      <w:pPr>
        <w:rPr>
          <w:rFonts w:asciiTheme="minorHAnsi" w:hAnsiTheme="minorHAnsi" w:cstheme="minorHAnsi"/>
          <w:sz w:val="22"/>
          <w:szCs w:val="22"/>
        </w:rPr>
      </w:pPr>
      <w:r>
        <w:rPr>
          <w:rFonts w:asciiTheme="minorHAnsi" w:hAnsiTheme="minorHAnsi" w:cstheme="minorHAnsi"/>
          <w:sz w:val="22"/>
          <w:szCs w:val="22"/>
        </w:rPr>
        <w:t>Section 5</w:t>
      </w:r>
      <w:r w:rsidR="00254BB1">
        <w:rPr>
          <w:rFonts w:asciiTheme="minorHAnsi" w:hAnsiTheme="minorHAnsi" w:cstheme="minorHAnsi"/>
          <w:sz w:val="22"/>
          <w:szCs w:val="22"/>
        </w:rPr>
        <w:t xml:space="preserve">.2 of the RIS also discusses the impact of expanding the Scheme’s eligibility requirements on insurers and policyholders and identifies that the loss of premium revenue by other insurers is estimated to be </w:t>
      </w:r>
      <w:r w:rsidR="00254BB1" w:rsidRPr="00E90CDB">
        <w:rPr>
          <w:rFonts w:asciiTheme="minorHAnsi" w:hAnsiTheme="minorHAnsi" w:cstheme="minorHAnsi"/>
          <w:sz w:val="22"/>
          <w:szCs w:val="22"/>
        </w:rPr>
        <w:t>around $30</w:t>
      </w:r>
      <w:r w:rsidR="00254BB1">
        <w:rPr>
          <w:rFonts w:asciiTheme="minorHAnsi" w:hAnsiTheme="minorHAnsi" w:cstheme="minorHAnsi"/>
          <w:sz w:val="22"/>
          <w:szCs w:val="22"/>
        </w:rPr>
        <w:t> </w:t>
      </w:r>
      <w:r w:rsidR="00254BB1" w:rsidRPr="00E90CDB">
        <w:rPr>
          <w:rFonts w:asciiTheme="minorHAnsi" w:hAnsiTheme="minorHAnsi" w:cstheme="minorHAnsi"/>
          <w:sz w:val="22"/>
          <w:szCs w:val="22"/>
        </w:rPr>
        <w:t>million per year (0.34 percent of the householders general insurance industry gross written premium per year)</w:t>
      </w:r>
      <w:r w:rsidR="00254BB1">
        <w:rPr>
          <w:rFonts w:asciiTheme="minorHAnsi" w:hAnsiTheme="minorHAnsi" w:cstheme="minorHAnsi"/>
          <w:sz w:val="22"/>
          <w:szCs w:val="22"/>
        </w:rPr>
        <w:t xml:space="preserve"> – refer </w:t>
      </w:r>
      <w:r w:rsidR="00254BB1" w:rsidRPr="00E90CDB">
        <w:rPr>
          <w:rFonts w:asciiTheme="minorHAnsi" w:hAnsiTheme="minorHAnsi" w:cstheme="minorHAnsi"/>
          <w:sz w:val="22"/>
          <w:szCs w:val="22"/>
        </w:rPr>
        <w:t xml:space="preserve">Table 6.  </w:t>
      </w:r>
    </w:p>
    <w:p w14:paraId="332B8690" w14:textId="771D75F6" w:rsidR="006E1197" w:rsidRPr="00E90CDB" w:rsidRDefault="006E1197" w:rsidP="00951058">
      <w:pPr>
        <w:keepNext/>
        <w:spacing w:before="240" w:after="240"/>
        <w:rPr>
          <w:rFonts w:asciiTheme="minorHAnsi" w:hAnsiTheme="minorHAnsi" w:cstheme="minorHAnsi"/>
          <w:b/>
          <w:sz w:val="22"/>
          <w:szCs w:val="22"/>
        </w:rPr>
      </w:pPr>
      <w:r>
        <w:rPr>
          <w:rFonts w:asciiTheme="minorHAnsi" w:hAnsiTheme="minorHAnsi" w:cstheme="minorHAnsi"/>
          <w:b/>
          <w:sz w:val="22"/>
          <w:szCs w:val="22"/>
        </w:rPr>
        <w:t>Competitive Neutrality Issues</w:t>
      </w:r>
    </w:p>
    <w:p w14:paraId="5BDFDC08" w14:textId="148E27FD" w:rsidR="006E1197" w:rsidRDefault="000D5B8E" w:rsidP="00EC17F1">
      <w:pPr>
        <w:keepNext/>
        <w:rPr>
          <w:rFonts w:asciiTheme="minorHAnsi" w:hAnsiTheme="minorHAnsi" w:cstheme="minorHAnsi"/>
          <w:sz w:val="22"/>
          <w:szCs w:val="22"/>
        </w:rPr>
      </w:pPr>
      <w:r w:rsidRPr="00E90CDB">
        <w:rPr>
          <w:rFonts w:asciiTheme="minorHAnsi" w:hAnsiTheme="minorHAnsi" w:cstheme="minorHAnsi"/>
          <w:sz w:val="22"/>
          <w:szCs w:val="22"/>
        </w:rPr>
        <w:t xml:space="preserve">Section </w:t>
      </w:r>
      <w:r w:rsidR="001A2BC5">
        <w:rPr>
          <w:rFonts w:asciiTheme="minorHAnsi" w:hAnsiTheme="minorHAnsi" w:cstheme="minorHAnsi"/>
          <w:sz w:val="22"/>
          <w:szCs w:val="22"/>
        </w:rPr>
        <w:t>5</w:t>
      </w:r>
      <w:r w:rsidRPr="00E90CDB">
        <w:rPr>
          <w:rFonts w:asciiTheme="minorHAnsi" w:hAnsiTheme="minorHAnsi" w:cstheme="minorHAnsi"/>
          <w:sz w:val="22"/>
          <w:szCs w:val="22"/>
        </w:rPr>
        <w:t xml:space="preserve">.2 </w:t>
      </w:r>
      <w:r w:rsidR="00254BB1">
        <w:rPr>
          <w:rFonts w:asciiTheme="minorHAnsi" w:hAnsiTheme="minorHAnsi" w:cstheme="minorHAnsi"/>
          <w:sz w:val="22"/>
          <w:szCs w:val="22"/>
        </w:rPr>
        <w:t xml:space="preserve">of the RIS </w:t>
      </w:r>
      <w:r w:rsidRPr="00E90CDB">
        <w:rPr>
          <w:rFonts w:asciiTheme="minorHAnsi" w:hAnsiTheme="minorHAnsi" w:cstheme="minorHAnsi"/>
          <w:sz w:val="22"/>
          <w:szCs w:val="22"/>
        </w:rPr>
        <w:t>details the Scheme’s Co</w:t>
      </w:r>
      <w:r w:rsidR="0062099E">
        <w:rPr>
          <w:rFonts w:asciiTheme="minorHAnsi" w:hAnsiTheme="minorHAnsi" w:cstheme="minorHAnsi"/>
          <w:sz w:val="22"/>
          <w:szCs w:val="22"/>
        </w:rPr>
        <w:t xml:space="preserve">mpetitive Neutrality exemption. </w:t>
      </w:r>
    </w:p>
    <w:p w14:paraId="32EEE504" w14:textId="77777777" w:rsidR="006E1197" w:rsidRDefault="006E1197" w:rsidP="00EC17F1">
      <w:pPr>
        <w:keepNext/>
        <w:rPr>
          <w:rFonts w:asciiTheme="minorHAnsi" w:hAnsiTheme="minorHAnsi" w:cstheme="minorHAnsi"/>
          <w:sz w:val="22"/>
          <w:szCs w:val="22"/>
        </w:rPr>
      </w:pPr>
    </w:p>
    <w:p w14:paraId="2593673B" w14:textId="77777777" w:rsidR="0057446D" w:rsidRDefault="006E1197" w:rsidP="006E1197">
      <w:pPr>
        <w:keepNext/>
        <w:rPr>
          <w:rFonts w:asciiTheme="minorHAnsi" w:hAnsiTheme="minorHAnsi" w:cstheme="minorHAnsi"/>
          <w:sz w:val="22"/>
          <w:szCs w:val="22"/>
        </w:rPr>
      </w:pPr>
      <w:r>
        <w:rPr>
          <w:rFonts w:asciiTheme="minorHAnsi" w:hAnsiTheme="minorHAnsi" w:cstheme="minorHAnsi"/>
          <w:sz w:val="22"/>
          <w:szCs w:val="22"/>
        </w:rPr>
        <w:t>T</w:t>
      </w:r>
      <w:r w:rsidR="00797AAE" w:rsidRPr="00E90CDB">
        <w:rPr>
          <w:rFonts w:asciiTheme="minorHAnsi" w:hAnsiTheme="minorHAnsi" w:cstheme="minorHAnsi"/>
          <w:sz w:val="22"/>
          <w:szCs w:val="22"/>
        </w:rPr>
        <w:t>he Scheme</w:t>
      </w:r>
      <w:r>
        <w:rPr>
          <w:rFonts w:asciiTheme="minorHAnsi" w:hAnsiTheme="minorHAnsi" w:cstheme="minorHAnsi"/>
          <w:sz w:val="22"/>
          <w:szCs w:val="22"/>
        </w:rPr>
        <w:t>’s concessional home building insurance</w:t>
      </w:r>
      <w:r w:rsidR="00797AAE" w:rsidRPr="00E90CDB">
        <w:rPr>
          <w:rFonts w:asciiTheme="minorHAnsi" w:hAnsiTheme="minorHAnsi" w:cstheme="minorHAnsi"/>
          <w:sz w:val="22"/>
          <w:szCs w:val="22"/>
        </w:rPr>
        <w:t xml:space="preserve"> is a </w:t>
      </w:r>
      <w:r w:rsidR="000D5B8E" w:rsidRPr="00E90CDB">
        <w:rPr>
          <w:rFonts w:asciiTheme="minorHAnsi" w:hAnsiTheme="minorHAnsi" w:cstheme="minorHAnsi"/>
          <w:sz w:val="22"/>
          <w:szCs w:val="22"/>
        </w:rPr>
        <w:t>long</w:t>
      </w:r>
      <w:r w:rsidR="0062099E">
        <w:rPr>
          <w:rFonts w:asciiTheme="minorHAnsi" w:hAnsiTheme="minorHAnsi" w:cstheme="minorHAnsi"/>
          <w:sz w:val="22"/>
          <w:szCs w:val="22"/>
        </w:rPr>
        <w:noBreakHyphen/>
      </w:r>
      <w:r w:rsidR="000D5B8E" w:rsidRPr="00E90CDB">
        <w:rPr>
          <w:rFonts w:asciiTheme="minorHAnsi" w:hAnsiTheme="minorHAnsi" w:cstheme="minorHAnsi"/>
          <w:sz w:val="22"/>
          <w:szCs w:val="22"/>
        </w:rPr>
        <w:t>standing feature of the Australian repatriation system</w:t>
      </w:r>
      <w:r>
        <w:rPr>
          <w:rFonts w:asciiTheme="minorHAnsi" w:hAnsiTheme="minorHAnsi" w:cstheme="minorHAnsi"/>
          <w:sz w:val="22"/>
          <w:szCs w:val="22"/>
        </w:rPr>
        <w:t xml:space="preserve">. Its </w:t>
      </w:r>
      <w:r w:rsidR="0062099E">
        <w:rPr>
          <w:rFonts w:asciiTheme="minorHAnsi" w:hAnsiTheme="minorHAnsi" w:cstheme="minorHAnsi"/>
          <w:sz w:val="22"/>
          <w:szCs w:val="22"/>
        </w:rPr>
        <w:t xml:space="preserve">Competitive Neutrality exemption results in </w:t>
      </w:r>
      <w:r w:rsidR="0062099E" w:rsidRPr="0062099E">
        <w:rPr>
          <w:rFonts w:asciiTheme="minorHAnsi" w:hAnsiTheme="minorHAnsi" w:cstheme="minorHAnsi"/>
          <w:sz w:val="22"/>
          <w:szCs w:val="22"/>
        </w:rPr>
        <w:t>average premium savings to policyholders of around $150 per year</w:t>
      </w:r>
      <w:r w:rsidR="0057446D">
        <w:rPr>
          <w:rFonts w:asciiTheme="minorHAnsi" w:hAnsiTheme="minorHAnsi" w:cstheme="minorHAnsi"/>
          <w:sz w:val="22"/>
          <w:szCs w:val="22"/>
        </w:rPr>
        <w:t xml:space="preserve"> </w:t>
      </w:r>
      <w:r>
        <w:rPr>
          <w:rFonts w:asciiTheme="minorHAnsi" w:hAnsiTheme="minorHAnsi" w:cstheme="minorHAnsi"/>
          <w:sz w:val="22"/>
          <w:szCs w:val="22"/>
        </w:rPr>
        <w:t xml:space="preserve">because </w:t>
      </w:r>
      <w:r w:rsidR="0062099E" w:rsidRPr="0062099E">
        <w:rPr>
          <w:rFonts w:asciiTheme="minorHAnsi" w:hAnsiTheme="minorHAnsi" w:cstheme="minorHAnsi"/>
          <w:sz w:val="22"/>
          <w:szCs w:val="22"/>
        </w:rPr>
        <w:t xml:space="preserve">the Scheme </w:t>
      </w:r>
      <w:r>
        <w:rPr>
          <w:rFonts w:asciiTheme="minorHAnsi" w:hAnsiTheme="minorHAnsi" w:cstheme="minorHAnsi"/>
          <w:sz w:val="22"/>
          <w:szCs w:val="22"/>
        </w:rPr>
        <w:t xml:space="preserve">does not </w:t>
      </w:r>
      <w:r w:rsidR="0062099E" w:rsidRPr="0062099E">
        <w:rPr>
          <w:rFonts w:asciiTheme="minorHAnsi" w:hAnsiTheme="minorHAnsi" w:cstheme="minorHAnsi"/>
          <w:sz w:val="22"/>
          <w:szCs w:val="22"/>
        </w:rPr>
        <w:t>pay certain taxes</w:t>
      </w:r>
      <w:r w:rsidR="0062099E">
        <w:rPr>
          <w:rFonts w:asciiTheme="minorHAnsi" w:hAnsiTheme="minorHAnsi" w:cstheme="minorHAnsi"/>
          <w:sz w:val="22"/>
          <w:szCs w:val="22"/>
        </w:rPr>
        <w:t>.</w:t>
      </w:r>
      <w:r>
        <w:rPr>
          <w:rFonts w:asciiTheme="minorHAnsi" w:hAnsiTheme="minorHAnsi" w:cstheme="minorHAnsi"/>
          <w:sz w:val="22"/>
          <w:szCs w:val="22"/>
        </w:rPr>
        <w:t xml:space="preserve"> </w:t>
      </w:r>
    </w:p>
    <w:p w14:paraId="40032A6C" w14:textId="77777777" w:rsidR="0057446D" w:rsidRDefault="0057446D" w:rsidP="006E1197">
      <w:pPr>
        <w:keepNext/>
        <w:rPr>
          <w:rFonts w:asciiTheme="minorHAnsi" w:hAnsiTheme="minorHAnsi" w:cstheme="minorHAnsi"/>
          <w:sz w:val="22"/>
          <w:szCs w:val="22"/>
        </w:rPr>
      </w:pPr>
    </w:p>
    <w:p w14:paraId="6CFA10FF" w14:textId="634C0443" w:rsidR="00971742" w:rsidRPr="0062099E" w:rsidRDefault="0057446D" w:rsidP="006E1197">
      <w:pPr>
        <w:keepNext/>
        <w:rPr>
          <w:rFonts w:asciiTheme="minorHAnsi" w:hAnsiTheme="minorHAnsi" w:cstheme="minorHAnsi"/>
          <w:sz w:val="22"/>
          <w:szCs w:val="22"/>
        </w:rPr>
      </w:pPr>
      <w:r>
        <w:rPr>
          <w:rFonts w:asciiTheme="minorHAnsi" w:hAnsiTheme="minorHAnsi" w:cstheme="minorHAnsi"/>
          <w:sz w:val="22"/>
          <w:szCs w:val="22"/>
        </w:rPr>
        <w:t>R</w:t>
      </w:r>
      <w:r w:rsidR="0062099E" w:rsidRPr="0062099E">
        <w:rPr>
          <w:rFonts w:asciiTheme="minorHAnsi" w:hAnsiTheme="minorHAnsi" w:cstheme="minorHAnsi"/>
          <w:sz w:val="22"/>
          <w:szCs w:val="22"/>
        </w:rPr>
        <w:t xml:space="preserve">estrictions on the types of investments that the Scheme can make </w:t>
      </w:r>
      <w:r w:rsidR="0062099E">
        <w:rPr>
          <w:rFonts w:asciiTheme="minorHAnsi" w:hAnsiTheme="minorHAnsi" w:cstheme="minorHAnsi"/>
          <w:sz w:val="22"/>
          <w:szCs w:val="22"/>
        </w:rPr>
        <w:t xml:space="preserve">and limitations on </w:t>
      </w:r>
      <w:r>
        <w:rPr>
          <w:rFonts w:asciiTheme="minorHAnsi" w:hAnsiTheme="minorHAnsi" w:cstheme="minorHAnsi"/>
          <w:sz w:val="22"/>
          <w:szCs w:val="22"/>
        </w:rPr>
        <w:t xml:space="preserve">the </w:t>
      </w:r>
      <w:r w:rsidR="0062099E" w:rsidRPr="0062099E">
        <w:rPr>
          <w:rFonts w:asciiTheme="minorHAnsi" w:hAnsiTheme="minorHAnsi" w:cstheme="minorHAnsi"/>
          <w:sz w:val="22"/>
          <w:szCs w:val="22"/>
        </w:rPr>
        <w:t>Scheme’s ability to diversify its portfolio</w:t>
      </w:r>
      <w:r w:rsidR="008502AA">
        <w:rPr>
          <w:rFonts w:asciiTheme="minorHAnsi" w:hAnsiTheme="minorHAnsi" w:cstheme="minorHAnsi"/>
          <w:sz w:val="22"/>
          <w:szCs w:val="22"/>
        </w:rPr>
        <w:t xml:space="preserve"> </w:t>
      </w:r>
      <w:r w:rsidR="0062099E" w:rsidRPr="0062099E">
        <w:rPr>
          <w:rFonts w:asciiTheme="minorHAnsi" w:hAnsiTheme="minorHAnsi" w:cstheme="minorHAnsi"/>
          <w:sz w:val="22"/>
          <w:szCs w:val="22"/>
        </w:rPr>
        <w:t>partially offset any competitive advantage the Scheme may have</w:t>
      </w:r>
      <w:r w:rsidR="006E1197">
        <w:rPr>
          <w:rFonts w:asciiTheme="minorHAnsi" w:hAnsiTheme="minorHAnsi" w:cstheme="minorHAnsi"/>
          <w:sz w:val="22"/>
          <w:szCs w:val="22"/>
        </w:rPr>
        <w:t xml:space="preserve">. The </w:t>
      </w:r>
      <w:r w:rsidR="0062099E" w:rsidRPr="0062099E">
        <w:rPr>
          <w:rFonts w:asciiTheme="minorHAnsi" w:hAnsiTheme="minorHAnsi" w:cstheme="minorHAnsi"/>
          <w:sz w:val="22"/>
          <w:szCs w:val="22"/>
        </w:rPr>
        <w:t>actual impact of these restrictions and the extent that they mitigate competitive neutrality issues is</w:t>
      </w:r>
      <w:r w:rsidR="006E1197">
        <w:rPr>
          <w:rFonts w:asciiTheme="minorHAnsi" w:hAnsiTheme="minorHAnsi" w:cstheme="minorHAnsi"/>
          <w:sz w:val="22"/>
          <w:szCs w:val="22"/>
        </w:rPr>
        <w:t>, however,</w:t>
      </w:r>
      <w:r w:rsidR="0062099E">
        <w:rPr>
          <w:rFonts w:asciiTheme="minorHAnsi" w:hAnsiTheme="minorHAnsi" w:cstheme="minorHAnsi"/>
          <w:sz w:val="22"/>
          <w:szCs w:val="22"/>
        </w:rPr>
        <w:t xml:space="preserve"> </w:t>
      </w:r>
      <w:r w:rsidR="0062099E" w:rsidRPr="0062099E">
        <w:rPr>
          <w:rFonts w:asciiTheme="minorHAnsi" w:hAnsiTheme="minorHAnsi" w:cstheme="minorHAnsi"/>
          <w:sz w:val="22"/>
          <w:szCs w:val="22"/>
        </w:rPr>
        <w:t>unable to be quantified and is therefore not factored into the estimated savings to policyholders.</w:t>
      </w:r>
      <w:r w:rsidR="00F85776" w:rsidRPr="00E90CDB">
        <w:rPr>
          <w:rFonts w:asciiTheme="minorHAnsi" w:hAnsiTheme="minorHAnsi" w:cstheme="minorHAnsi"/>
          <w:sz w:val="22"/>
          <w:szCs w:val="22"/>
        </w:rPr>
        <w:t xml:space="preserve"> </w:t>
      </w:r>
    </w:p>
    <w:sectPr w:rsidR="00971742" w:rsidRPr="0062099E" w:rsidSect="00951058">
      <w:headerReference w:type="default" r:id="rId13"/>
      <w:footerReference w:type="default" r:id="rId14"/>
      <w:headerReference w:type="first" r:id="rId15"/>
      <w:footerReference w:type="first" r:id="rId16"/>
      <w:pgSz w:w="11906" w:h="16838" w:code="9"/>
      <w:pgMar w:top="1077" w:right="1021" w:bottom="851" w:left="1021"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E3F24" w14:textId="77777777" w:rsidR="0081768B" w:rsidRDefault="003A4CB7">
      <w:r>
        <w:separator/>
      </w:r>
    </w:p>
  </w:endnote>
  <w:endnote w:type="continuationSeparator" w:id="0">
    <w:p w14:paraId="539E3F26" w14:textId="77777777" w:rsidR="0081768B" w:rsidRDefault="003A4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3F16" w14:textId="77777777" w:rsidR="00CB6B8C" w:rsidRDefault="003A4CB7">
    <w:pPr>
      <w:pStyle w:val="Footer"/>
      <w:rPr>
        <w:sz w:val="16"/>
      </w:rPr>
    </w:pPr>
    <w:r>
      <w:rPr>
        <w:sz w:val="16"/>
      </w:rPr>
      <w:t>________________________________________________________________________________________________________________________</w:t>
    </w:r>
  </w:p>
  <w:p w14:paraId="539E3F17" w14:textId="77777777" w:rsidR="00CB6B8C" w:rsidRDefault="003A4CB7">
    <w:pPr>
      <w:pStyle w:val="Footer"/>
      <w:rPr>
        <w:sz w:val="16"/>
      </w:rPr>
    </w:pPr>
    <w:r>
      <w:rPr>
        <w:sz w:val="16"/>
      </w:rPr>
      <w:t>GNABRA BUILDING</w:t>
    </w:r>
  </w:p>
  <w:p w14:paraId="539E3F18" w14:textId="77777777" w:rsidR="00CB6B8C" w:rsidRDefault="003A4CB7">
    <w:pPr>
      <w:pStyle w:val="Footer"/>
      <w:rPr>
        <w:sz w:val="16"/>
      </w:rPr>
    </w:pPr>
    <w:r>
      <w:rPr>
        <w:sz w:val="16"/>
      </w:rPr>
      <w:t>21 GENGE STREET</w:t>
    </w:r>
  </w:p>
  <w:p w14:paraId="539E3F19" w14:textId="77777777" w:rsidR="00CB6B8C" w:rsidRDefault="003A4CB7">
    <w:pPr>
      <w:pStyle w:val="Footer"/>
      <w:rPr>
        <w:sz w:val="16"/>
      </w:rPr>
    </w:pPr>
    <w:r>
      <w:rPr>
        <w:sz w:val="16"/>
      </w:rPr>
      <w:t xml:space="preserve">CANBERRA CITY </w:t>
    </w:r>
    <w:r w:rsidR="00BB37ED">
      <w:rPr>
        <w:sz w:val="16"/>
      </w:rPr>
      <w:t xml:space="preserve"> </w:t>
    </w:r>
    <w:r>
      <w:rPr>
        <w:sz w:val="16"/>
      </w:rPr>
      <w:t>ACT  2601</w:t>
    </w:r>
  </w:p>
  <w:p w14:paraId="539E3F1A" w14:textId="77777777" w:rsidR="00CB6B8C" w:rsidRDefault="003A4CB7">
    <w:pPr>
      <w:pStyle w:val="Footer"/>
      <w:rPr>
        <w:sz w:val="16"/>
      </w:rPr>
    </w:pPr>
    <w:r>
      <w:rPr>
        <w:sz w:val="16"/>
      </w:rPr>
      <w:t xml:space="preserve">  </w:t>
    </w:r>
  </w:p>
  <w:p w14:paraId="539E3F1B" w14:textId="77777777" w:rsidR="00CB6B8C" w:rsidRDefault="003A4CB7">
    <w:pPr>
      <w:pStyle w:val="Footer"/>
      <w:ind w:right="-143"/>
      <w:rPr>
        <w:sz w:val="16"/>
      </w:rPr>
    </w:pPr>
    <w:r>
      <w:rPr>
        <w:sz w:val="16"/>
      </w:rPr>
      <w:t>G</w:t>
    </w:r>
    <w:smartTag w:uri="urn:schemas-microsoft-com:office:smarttags" w:element="place">
      <w:r>
        <w:rPr>
          <w:sz w:val="16"/>
        </w:rPr>
        <w:t>PO</w:t>
      </w:r>
    </w:smartTag>
    <w:r>
      <w:rPr>
        <w:sz w:val="16"/>
      </w:rPr>
      <w:t xml:space="preserve"> </w:t>
    </w:r>
    <w:smartTag w:uri="urn:schemas-microsoft-com:office:smarttags" w:element="Street">
      <w:r>
        <w:rPr>
          <w:sz w:val="16"/>
        </w:rPr>
        <w:t>BOX</w:t>
      </w:r>
    </w:smartTag>
    <w:r>
      <w:rPr>
        <w:sz w:val="16"/>
      </w:rPr>
      <w:t xml:space="preserve"> 9998 </w:t>
    </w:r>
  </w:p>
  <w:p w14:paraId="539E3F1C" w14:textId="77777777" w:rsidR="00CB6B8C" w:rsidRDefault="003A4CB7">
    <w:pPr>
      <w:pStyle w:val="Footer"/>
      <w:tabs>
        <w:tab w:val="clear" w:pos="8306"/>
      </w:tabs>
      <w:ind w:right="-143"/>
      <w:rPr>
        <w:sz w:val="16"/>
      </w:rPr>
    </w:pPr>
    <w:r>
      <w:rPr>
        <w:sz w:val="16"/>
      </w:rPr>
      <w:t>CANBERRA ACT  2601</w:t>
    </w:r>
    <w:r>
      <w:rPr>
        <w:sz w:val="16"/>
      </w:rPr>
      <w:tab/>
    </w:r>
    <w:r>
      <w:rPr>
        <w:sz w:val="16"/>
      </w:rPr>
      <w:tab/>
    </w:r>
    <w:r>
      <w:rPr>
        <w:sz w:val="16"/>
      </w:rPr>
      <w:tab/>
    </w:r>
    <w:r>
      <w:rPr>
        <w:sz w:val="16"/>
      </w:rPr>
      <w:tab/>
    </w:r>
    <w:r>
      <w:rPr>
        <w:sz w:val="16"/>
      </w:rPr>
      <w:tab/>
    </w:r>
    <w:r>
      <w:rPr>
        <w:sz w:val="16"/>
      </w:rPr>
      <w:tab/>
      <w:t>TELEPHONE        (02) 6289 6744</w:t>
    </w:r>
  </w:p>
  <w:p w14:paraId="539E3F1D" w14:textId="77777777" w:rsidR="00CB6B8C" w:rsidRDefault="003A4CB7">
    <w:pPr>
      <w:pStyle w:val="Footer"/>
      <w:tabs>
        <w:tab w:val="clear" w:pos="8306"/>
      </w:tabs>
      <w:ind w:right="-143"/>
    </w:pPr>
    <w:smartTag w:uri="urn:schemas-microsoft-com:office:smarttags" w:element="place">
      <w:smartTag w:uri="urn:schemas-microsoft-com:office:smarttags" w:element="country-region">
        <w:r>
          <w:rPr>
            <w:sz w:val="16"/>
          </w:rPr>
          <w:t>AUSTRALIA</w:t>
        </w:r>
      </w:smartTag>
    </w:smartTag>
    <w:r>
      <w:rPr>
        <w:sz w:val="16"/>
      </w:rPr>
      <w:tab/>
    </w:r>
    <w:r>
      <w:rPr>
        <w:sz w:val="16"/>
      </w:rPr>
      <w:tab/>
    </w:r>
    <w:r>
      <w:rPr>
        <w:sz w:val="16"/>
      </w:rPr>
      <w:tab/>
    </w:r>
    <w:r>
      <w:rPr>
        <w:sz w:val="16"/>
      </w:rPr>
      <w:tab/>
    </w:r>
    <w:r>
      <w:rPr>
        <w:sz w:val="16"/>
      </w:rPr>
      <w:tab/>
    </w:r>
    <w:r>
      <w:rPr>
        <w:sz w:val="16"/>
      </w:rPr>
      <w:tab/>
      <w:t>FACSIMILE          (02) 6289 6257</w:t>
    </w:r>
  </w:p>
  <w:p w14:paraId="539E3F1E" w14:textId="77777777" w:rsidR="00CB6B8C" w:rsidRDefault="003A4CB7">
    <w:pPr>
      <w:pStyle w:val="Footer"/>
      <w:tabs>
        <w:tab w:val="clear" w:pos="8306"/>
      </w:tabs>
      <w:ind w:right="-143"/>
    </w:pPr>
    <w:r>
      <w:rPr>
        <w:sz w:val="16"/>
      </w:rPr>
      <w:tab/>
    </w:r>
    <w:r>
      <w:rPr>
        <w:sz w:val="16"/>
      </w:rPr>
      <w:tab/>
    </w:r>
    <w:r>
      <w:rPr>
        <w:sz w:val="16"/>
      </w:rPr>
      <w:tab/>
    </w:r>
    <w:r>
      <w:rPr>
        <w:sz w:val="16"/>
      </w:rPr>
      <w:tab/>
    </w:r>
    <w:r>
      <w:rPr>
        <w:sz w:val="16"/>
      </w:rPr>
      <w:tab/>
    </w:r>
    <w:r>
      <w:rPr>
        <w:sz w:val="16"/>
      </w:rPr>
      <w:tab/>
      <w:t xml:space="preserve">INTERNET         </w:t>
    </w:r>
    <w:bookmarkStart w:id="1" w:name="_GoBack"/>
    <w:r w:rsidR="00D96981">
      <w:fldChar w:fldCharType="begin"/>
    </w:r>
    <w:r w:rsidR="00D96981">
      <w:instrText xml:space="preserve"> HYPERLINK "http://www.dva.gov.au" </w:instrText>
    </w:r>
    <w:r w:rsidR="00D96981">
      <w:fldChar w:fldCharType="separate"/>
    </w:r>
    <w:r>
      <w:rPr>
        <w:rStyle w:val="Hyperlink"/>
        <w:sz w:val="16"/>
      </w:rPr>
      <w:t>www.dva.gov.au</w:t>
    </w:r>
    <w:r w:rsidR="00D96981">
      <w:rPr>
        <w:rStyle w:val="Hyperlink"/>
        <w:sz w:val="16"/>
      </w:rPr>
      <w:fldChar w:fldCharType="end"/>
    </w:r>
    <w:bookmarkEnd w:id="1"/>
  </w:p>
  <w:p w14:paraId="539E3F1F" w14:textId="77777777" w:rsidR="00CB6B8C" w:rsidRDefault="003A4CB7">
    <w:pPr>
      <w:pStyle w:val="Footer"/>
      <w:jc w:val="center"/>
      <w:rPr>
        <w:i/>
      </w:rPr>
    </w:pPr>
    <w:r>
      <w:rPr>
        <w:i/>
      </w:rPr>
      <w:t>Saluting Their Service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356F40" w14:textId="3A0A7CCA" w:rsidR="00EC17F1" w:rsidRPr="00EC17F1" w:rsidRDefault="00EC17F1" w:rsidP="005036E3">
    <w:pPr>
      <w:pStyle w:val="Footer"/>
      <w:tabs>
        <w:tab w:val="clear" w:pos="4153"/>
        <w:tab w:val="clear" w:pos="8306"/>
      </w:tabs>
      <w:jc w:val="center"/>
      <w:rPr>
        <w:rFonts w:asciiTheme="minorHAnsi" w:hAnsiTheme="minorHAnsi" w:cstheme="minorHAnsi"/>
        <w:sz w:val="18"/>
      </w:rPr>
    </w:pPr>
    <w:r w:rsidRPr="00EC17F1">
      <w:rPr>
        <w:rFonts w:asciiTheme="minorHAnsi" w:hAnsiTheme="minorHAnsi" w:cstheme="minorHAnsi"/>
        <w:sz w:val="18"/>
      </w:rPr>
      <w:t xml:space="preserve">Page </w:t>
    </w:r>
    <w:r w:rsidRPr="00EC17F1">
      <w:rPr>
        <w:rFonts w:asciiTheme="minorHAnsi" w:hAnsiTheme="minorHAnsi" w:cstheme="minorHAnsi"/>
        <w:b/>
        <w:bCs/>
        <w:sz w:val="18"/>
      </w:rPr>
      <w:fldChar w:fldCharType="begin"/>
    </w:r>
    <w:r w:rsidRPr="00EC17F1">
      <w:rPr>
        <w:rFonts w:asciiTheme="minorHAnsi" w:hAnsiTheme="minorHAnsi" w:cstheme="minorHAnsi"/>
        <w:b/>
        <w:bCs/>
        <w:sz w:val="18"/>
      </w:rPr>
      <w:instrText xml:space="preserve"> PAGE  \* Arabic  \* MERGEFORMAT </w:instrText>
    </w:r>
    <w:r w:rsidRPr="00EC17F1">
      <w:rPr>
        <w:rFonts w:asciiTheme="minorHAnsi" w:hAnsiTheme="minorHAnsi" w:cstheme="minorHAnsi"/>
        <w:b/>
        <w:bCs/>
        <w:sz w:val="18"/>
      </w:rPr>
      <w:fldChar w:fldCharType="separate"/>
    </w:r>
    <w:r w:rsidR="00D96981">
      <w:rPr>
        <w:rFonts w:asciiTheme="minorHAnsi" w:hAnsiTheme="minorHAnsi" w:cstheme="minorHAnsi"/>
        <w:b/>
        <w:bCs/>
        <w:noProof/>
        <w:sz w:val="18"/>
      </w:rPr>
      <w:t>2</w:t>
    </w:r>
    <w:r w:rsidRPr="00EC17F1">
      <w:rPr>
        <w:rFonts w:asciiTheme="minorHAnsi" w:hAnsiTheme="minorHAnsi" w:cstheme="minorHAnsi"/>
        <w:b/>
        <w:bCs/>
        <w:sz w:val="18"/>
      </w:rPr>
      <w:fldChar w:fldCharType="end"/>
    </w:r>
    <w:r w:rsidRPr="00EC17F1">
      <w:rPr>
        <w:rFonts w:asciiTheme="minorHAnsi" w:hAnsiTheme="minorHAnsi" w:cstheme="minorHAnsi"/>
        <w:sz w:val="18"/>
      </w:rPr>
      <w:t xml:space="preserve"> of </w:t>
    </w:r>
    <w:r w:rsidR="00C64075">
      <w:rPr>
        <w:rFonts w:asciiTheme="minorHAnsi" w:hAnsiTheme="minorHAnsi" w:cstheme="minorHAnsi"/>
        <w:b/>
        <w:bCs/>
        <w:sz w:val="18"/>
      </w:rPr>
      <w:t>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AFAC" w14:textId="7B2D12C5" w:rsidR="00F063C1" w:rsidRPr="00EC17F1" w:rsidRDefault="00EC17F1" w:rsidP="00C64075">
    <w:pPr>
      <w:pStyle w:val="Footer"/>
      <w:tabs>
        <w:tab w:val="clear" w:pos="4153"/>
        <w:tab w:val="clear" w:pos="8306"/>
      </w:tabs>
      <w:jc w:val="center"/>
      <w:rPr>
        <w:rFonts w:asciiTheme="minorHAnsi" w:hAnsiTheme="minorHAnsi" w:cstheme="minorHAnsi"/>
        <w:sz w:val="18"/>
      </w:rPr>
    </w:pPr>
    <w:r w:rsidRPr="00EC17F1">
      <w:rPr>
        <w:rFonts w:asciiTheme="minorHAnsi" w:hAnsiTheme="minorHAnsi" w:cstheme="minorHAnsi"/>
        <w:sz w:val="18"/>
      </w:rPr>
      <w:t xml:space="preserve">Page </w:t>
    </w:r>
    <w:r w:rsidRPr="00EC17F1">
      <w:rPr>
        <w:rFonts w:asciiTheme="minorHAnsi" w:hAnsiTheme="minorHAnsi" w:cstheme="minorHAnsi"/>
        <w:b/>
        <w:bCs/>
        <w:sz w:val="18"/>
      </w:rPr>
      <w:fldChar w:fldCharType="begin"/>
    </w:r>
    <w:r w:rsidRPr="00EC17F1">
      <w:rPr>
        <w:rFonts w:asciiTheme="minorHAnsi" w:hAnsiTheme="minorHAnsi" w:cstheme="minorHAnsi"/>
        <w:b/>
        <w:bCs/>
        <w:sz w:val="18"/>
      </w:rPr>
      <w:instrText xml:space="preserve"> PAGE  \* Arabic  \* MERGEFORMAT </w:instrText>
    </w:r>
    <w:r w:rsidRPr="00EC17F1">
      <w:rPr>
        <w:rFonts w:asciiTheme="minorHAnsi" w:hAnsiTheme="minorHAnsi" w:cstheme="minorHAnsi"/>
        <w:b/>
        <w:bCs/>
        <w:sz w:val="18"/>
      </w:rPr>
      <w:fldChar w:fldCharType="separate"/>
    </w:r>
    <w:r w:rsidR="00D96981">
      <w:rPr>
        <w:rFonts w:asciiTheme="minorHAnsi" w:hAnsiTheme="minorHAnsi" w:cstheme="minorHAnsi"/>
        <w:b/>
        <w:bCs/>
        <w:noProof/>
        <w:sz w:val="18"/>
      </w:rPr>
      <w:t>1</w:t>
    </w:r>
    <w:r w:rsidRPr="00EC17F1">
      <w:rPr>
        <w:rFonts w:asciiTheme="minorHAnsi" w:hAnsiTheme="minorHAnsi" w:cstheme="minorHAnsi"/>
        <w:b/>
        <w:bCs/>
        <w:sz w:val="18"/>
      </w:rPr>
      <w:fldChar w:fldCharType="end"/>
    </w:r>
    <w:r w:rsidRPr="00EC17F1">
      <w:rPr>
        <w:rFonts w:asciiTheme="minorHAnsi" w:hAnsiTheme="minorHAnsi" w:cstheme="minorHAnsi"/>
        <w:sz w:val="18"/>
      </w:rPr>
      <w:t xml:space="preserve"> of </w:t>
    </w:r>
    <w:r w:rsidR="00C64075">
      <w:rPr>
        <w:rFonts w:asciiTheme="minorHAnsi" w:hAnsiTheme="minorHAnsi" w:cstheme="minorHAnsi"/>
        <w:b/>
        <w:bCs/>
        <w:sz w:val="18"/>
      </w:rPr>
      <w:t>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9E3F20" w14:textId="77777777" w:rsidR="0081768B" w:rsidRDefault="003A4CB7">
      <w:r>
        <w:separator/>
      </w:r>
    </w:p>
  </w:footnote>
  <w:footnote w:type="continuationSeparator" w:id="0">
    <w:p w14:paraId="539E3F22" w14:textId="77777777" w:rsidR="0081768B" w:rsidRDefault="003A4C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D63B0" w14:textId="77777777" w:rsidR="00EC17F1" w:rsidRDefault="00EC17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E2BEA" w14:textId="77777777" w:rsidR="00EC17F1" w:rsidRDefault="00EC17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5C9EB100"/>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1FEE1C98"/>
    <w:multiLevelType w:val="hybridMultilevel"/>
    <w:tmpl w:val="4D3437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34CB172F"/>
    <w:multiLevelType w:val="hybridMultilevel"/>
    <w:tmpl w:val="529220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42EA3EDF"/>
    <w:multiLevelType w:val="hybridMultilevel"/>
    <w:tmpl w:val="71BA6B8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5F557AFC"/>
    <w:multiLevelType w:val="hybridMultilevel"/>
    <w:tmpl w:val="6142A49E"/>
    <w:lvl w:ilvl="0" w:tplc="CDD85D80">
      <w:start w:val="1"/>
      <w:numFmt w:val="decimal"/>
      <w:lvlText w:val="%1."/>
      <w:lvlJc w:val="left"/>
      <w:pPr>
        <w:ind w:left="360" w:hanging="360"/>
      </w:pPr>
      <w:rPr>
        <w:i w:val="0"/>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5" w15:restartNumberingAfterBreak="0">
    <w:nsid w:val="6E1C79EF"/>
    <w:multiLevelType w:val="hybridMultilevel"/>
    <w:tmpl w:val="2FA2B4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7D8D6579"/>
    <w:multiLevelType w:val="hybridMultilevel"/>
    <w:tmpl w:val="4A6216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4"/>
  </w:num>
  <w:num w:numId="4">
    <w:abstractNumId w:val="5"/>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233"/>
    <w:rsid w:val="00005804"/>
    <w:rsid w:val="00037F47"/>
    <w:rsid w:val="00053F2F"/>
    <w:rsid w:val="000929D7"/>
    <w:rsid w:val="000A381D"/>
    <w:rsid w:val="000A3B85"/>
    <w:rsid w:val="000B79F7"/>
    <w:rsid w:val="000D1F7E"/>
    <w:rsid w:val="000D5B8E"/>
    <w:rsid w:val="000F32CE"/>
    <w:rsid w:val="00115C3F"/>
    <w:rsid w:val="001331EF"/>
    <w:rsid w:val="0014662C"/>
    <w:rsid w:val="00146852"/>
    <w:rsid w:val="001544D0"/>
    <w:rsid w:val="00154F9F"/>
    <w:rsid w:val="00170A45"/>
    <w:rsid w:val="00195060"/>
    <w:rsid w:val="001A2BC5"/>
    <w:rsid w:val="00211E1E"/>
    <w:rsid w:val="00254BB1"/>
    <w:rsid w:val="002C2233"/>
    <w:rsid w:val="002D43C2"/>
    <w:rsid w:val="0031076D"/>
    <w:rsid w:val="003401B8"/>
    <w:rsid w:val="00340421"/>
    <w:rsid w:val="003574EF"/>
    <w:rsid w:val="00387DC4"/>
    <w:rsid w:val="003A0984"/>
    <w:rsid w:val="003A4CB7"/>
    <w:rsid w:val="003B13F7"/>
    <w:rsid w:val="003E12B4"/>
    <w:rsid w:val="00413309"/>
    <w:rsid w:val="00445BC6"/>
    <w:rsid w:val="004878E3"/>
    <w:rsid w:val="004A0530"/>
    <w:rsid w:val="004B3619"/>
    <w:rsid w:val="004D31C9"/>
    <w:rsid w:val="005036E3"/>
    <w:rsid w:val="0055210C"/>
    <w:rsid w:val="00557482"/>
    <w:rsid w:val="00572BD4"/>
    <w:rsid w:val="0057446D"/>
    <w:rsid w:val="005B7601"/>
    <w:rsid w:val="0062099E"/>
    <w:rsid w:val="006212EC"/>
    <w:rsid w:val="00640A6F"/>
    <w:rsid w:val="00660DF9"/>
    <w:rsid w:val="00677BF1"/>
    <w:rsid w:val="006E1197"/>
    <w:rsid w:val="00737308"/>
    <w:rsid w:val="00784E50"/>
    <w:rsid w:val="00797AAE"/>
    <w:rsid w:val="007C5824"/>
    <w:rsid w:val="007D2909"/>
    <w:rsid w:val="0081768B"/>
    <w:rsid w:val="00837ED1"/>
    <w:rsid w:val="008502AA"/>
    <w:rsid w:val="008C29C4"/>
    <w:rsid w:val="008C3E3D"/>
    <w:rsid w:val="008E732A"/>
    <w:rsid w:val="00903B0C"/>
    <w:rsid w:val="00951058"/>
    <w:rsid w:val="00971742"/>
    <w:rsid w:val="00984E1C"/>
    <w:rsid w:val="00A21658"/>
    <w:rsid w:val="00A33136"/>
    <w:rsid w:val="00A600F6"/>
    <w:rsid w:val="00A631E1"/>
    <w:rsid w:val="00A73CDC"/>
    <w:rsid w:val="00A816F4"/>
    <w:rsid w:val="00A9401B"/>
    <w:rsid w:val="00AF1742"/>
    <w:rsid w:val="00B011FD"/>
    <w:rsid w:val="00B076EC"/>
    <w:rsid w:val="00B3136F"/>
    <w:rsid w:val="00B53154"/>
    <w:rsid w:val="00BB37ED"/>
    <w:rsid w:val="00BC5C72"/>
    <w:rsid w:val="00BD1666"/>
    <w:rsid w:val="00C379E9"/>
    <w:rsid w:val="00C37FBF"/>
    <w:rsid w:val="00C53502"/>
    <w:rsid w:val="00C64075"/>
    <w:rsid w:val="00CA48F2"/>
    <w:rsid w:val="00CB6B8C"/>
    <w:rsid w:val="00CC142B"/>
    <w:rsid w:val="00CD5D82"/>
    <w:rsid w:val="00D1185C"/>
    <w:rsid w:val="00D2335D"/>
    <w:rsid w:val="00D65618"/>
    <w:rsid w:val="00D867E1"/>
    <w:rsid w:val="00D96981"/>
    <w:rsid w:val="00E07EB8"/>
    <w:rsid w:val="00E1710F"/>
    <w:rsid w:val="00E223EE"/>
    <w:rsid w:val="00E34799"/>
    <w:rsid w:val="00E90CDB"/>
    <w:rsid w:val="00EA0366"/>
    <w:rsid w:val="00EC1579"/>
    <w:rsid w:val="00EC17F1"/>
    <w:rsid w:val="00ED499F"/>
    <w:rsid w:val="00EF034A"/>
    <w:rsid w:val="00EF3D0A"/>
    <w:rsid w:val="00F05B6A"/>
    <w:rsid w:val="00F063C1"/>
    <w:rsid w:val="00F15A9E"/>
    <w:rsid w:val="00F22365"/>
    <w:rsid w:val="00F449C3"/>
    <w:rsid w:val="00F548E4"/>
    <w:rsid w:val="00F63747"/>
    <w:rsid w:val="00F80C2F"/>
    <w:rsid w:val="00F85776"/>
    <w:rsid w:val="00FB02F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place"/>
  <w:shapeDefaults>
    <o:shapedefaults v:ext="edit" spidmax="1027"/>
    <o:shapelayout v:ext="edit">
      <o:idmap v:ext="edit" data="1"/>
    </o:shapelayout>
  </w:shapeDefaults>
  <w:decimalSymbol w:val="."/>
  <w:listSeparator w:val=","/>
  <w14:docId w14:val="539E3EF3"/>
  <w15:chartTrackingRefBased/>
  <w15:docId w15:val="{82B7D562-7D59-42C3-9468-E8576088D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A4C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pPr>
      <w:keepNext/>
      <w:outlineLvl w:val="1"/>
    </w:pPr>
    <w:rPr>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Bullet4">
    <w:name w:val="List Bullet 4"/>
    <w:basedOn w:val="Normal"/>
    <w:autoRedefine/>
    <w:pPr>
      <w:numPr>
        <w:numId w:val="1"/>
      </w:numPr>
    </w:pPr>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Pr>
      <w:rFonts w:ascii="Tahoma" w:hAnsi="Tahoma" w:cs="Tahoma"/>
      <w:sz w:val="16"/>
      <w:szCs w:val="16"/>
    </w:rPr>
  </w:style>
  <w:style w:type="character" w:styleId="PlaceholderText">
    <w:name w:val="Placeholder Text"/>
    <w:basedOn w:val="DefaultParagraphFont"/>
    <w:uiPriority w:val="99"/>
    <w:semiHidden/>
    <w:rsid w:val="00154F9F"/>
    <w:rPr>
      <w:color w:val="808080"/>
    </w:rPr>
  </w:style>
  <w:style w:type="character" w:customStyle="1" w:styleId="Heading1Char">
    <w:name w:val="Heading 1 Char"/>
    <w:basedOn w:val="DefaultParagraphFont"/>
    <w:link w:val="Heading1"/>
    <w:uiPriority w:val="9"/>
    <w:rsid w:val="003A4CB7"/>
    <w:rPr>
      <w:rFonts w:asciiTheme="majorHAnsi" w:eastAsiaTheme="majorEastAsia" w:hAnsiTheme="majorHAnsi" w:cstheme="majorBidi"/>
      <w:color w:val="2E74B5" w:themeColor="accent1" w:themeShade="BF"/>
      <w:sz w:val="32"/>
      <w:szCs w:val="32"/>
    </w:rPr>
  </w:style>
  <w:style w:type="paragraph" w:styleId="BodyText">
    <w:name w:val="Body Text"/>
    <w:basedOn w:val="Normal"/>
    <w:link w:val="BodyTextChar"/>
    <w:uiPriority w:val="99"/>
    <w:rsid w:val="003A4CB7"/>
    <w:pPr>
      <w:spacing w:before="240" w:line="300" w:lineRule="exact"/>
      <w:jc w:val="both"/>
    </w:pPr>
    <w:rPr>
      <w:sz w:val="24"/>
    </w:rPr>
  </w:style>
  <w:style w:type="character" w:customStyle="1" w:styleId="BodyTextChar">
    <w:name w:val="Body Text Char"/>
    <w:basedOn w:val="DefaultParagraphFont"/>
    <w:link w:val="BodyText"/>
    <w:uiPriority w:val="99"/>
    <w:rsid w:val="003A4CB7"/>
    <w:rPr>
      <w:sz w:val="24"/>
    </w:rPr>
  </w:style>
  <w:style w:type="paragraph" w:styleId="ListParagraph">
    <w:name w:val="List Paragraph"/>
    <w:basedOn w:val="Normal"/>
    <w:uiPriority w:val="34"/>
    <w:qFormat/>
    <w:rsid w:val="003A4CB7"/>
    <w:pPr>
      <w:ind w:left="720"/>
      <w:contextualSpacing/>
    </w:pPr>
  </w:style>
  <w:style w:type="character" w:styleId="CommentReference">
    <w:name w:val="annotation reference"/>
    <w:basedOn w:val="DefaultParagraphFont"/>
    <w:uiPriority w:val="99"/>
    <w:rsid w:val="000F32CE"/>
    <w:rPr>
      <w:sz w:val="16"/>
      <w:szCs w:val="16"/>
    </w:rPr>
  </w:style>
  <w:style w:type="paragraph" w:styleId="CommentText">
    <w:name w:val="annotation text"/>
    <w:basedOn w:val="Normal"/>
    <w:link w:val="CommentTextChar"/>
    <w:uiPriority w:val="99"/>
    <w:rsid w:val="000F32CE"/>
  </w:style>
  <w:style w:type="character" w:customStyle="1" w:styleId="CommentTextChar">
    <w:name w:val="Comment Text Char"/>
    <w:basedOn w:val="DefaultParagraphFont"/>
    <w:link w:val="CommentText"/>
    <w:uiPriority w:val="99"/>
    <w:rsid w:val="000F32CE"/>
  </w:style>
  <w:style w:type="paragraph" w:styleId="CommentSubject">
    <w:name w:val="annotation subject"/>
    <w:basedOn w:val="CommentText"/>
    <w:next w:val="CommentText"/>
    <w:link w:val="CommentSubjectChar"/>
    <w:rsid w:val="000F32CE"/>
    <w:rPr>
      <w:b/>
      <w:bCs/>
    </w:rPr>
  </w:style>
  <w:style w:type="character" w:customStyle="1" w:styleId="CommentSubjectChar">
    <w:name w:val="Comment Subject Char"/>
    <w:basedOn w:val="CommentTextChar"/>
    <w:link w:val="CommentSubject"/>
    <w:rsid w:val="000F32C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5686ED43-3485-4E9A-9257-970D2BFF8129}"/>
      </w:docPartPr>
      <w:docPartBody>
        <w:p w:rsidR="004B3619" w:rsidRDefault="00C60C98">
          <w:r w:rsidRPr="00F05B6A">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306"/>
    <w:rsid w:val="004B3619"/>
    <w:rsid w:val="00C60C98"/>
    <w:rsid w:val="00C90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90306"/>
    <w:rPr>
      <w:color w:val="808080"/>
    </w:rPr>
  </w:style>
  <w:style w:type="paragraph" w:customStyle="1" w:styleId="BF54F0C2231E49FD8F9F8DF96BE84ACB">
    <w:name w:val="BF54F0C2231E49FD8F9F8DF96BE84ACB"/>
    <w:rsid w:val="00C903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DMS Document" ma:contentTypeID="0x010100266966F133664895A6EE3632470D45F500BC13B9EC8CA90D499C7BCEAC378A7344" ma:contentTypeVersion="" ma:contentTypeDescription="PDMS Document Site Content Type" ma:contentTypeScope="" ma:versionID="9f903fec4903f297639417423ac27cbc">
  <xsd:schema xmlns:xsd="http://www.w3.org/2001/XMLSchema" xmlns:xs="http://www.w3.org/2001/XMLSchema" xmlns:p="http://schemas.microsoft.com/office/2006/metadata/properties" xmlns:ns2="2F10E657-8174-4508-B740-5CF435BE8196" targetNamespace="http://schemas.microsoft.com/office/2006/metadata/properties" ma:root="true" ma:fieldsID="6a8e3496c4dac5233cea6f5daff7bab8" ns2:_="">
    <xsd:import namespace="2F10E657-8174-4508-B740-5CF435BE8196"/>
    <xsd:element name="properties">
      <xsd:complexType>
        <xsd:sequence>
          <xsd:element name="documentManagement">
            <xsd:complexType>
              <xsd:all>
                <xsd:element ref="ns2:SecurityClassifi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0E657-8174-4508-B740-5CF435BE8196" elementFormDefault="qualified">
    <xsd:import namespace="http://schemas.microsoft.com/office/2006/documentManagement/types"/>
    <xsd:import namespace="http://schemas.microsoft.com/office/infopath/2007/PartnerControls"/>
    <xsd:element name="SecurityClassification" ma:index="8" nillable="true" ma:displayName="Security Classification" ma:hidden="true" ma:internalName="SecurityClassific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2E09F4-7F77-4F2F-8019-551825A5FFBA}">
  <ds:schemaRefs>
    <ds:schemaRef ds:uri="http://schemas.microsoft.com/sharepoint/v3/contenttype/forms"/>
  </ds:schemaRefs>
</ds:datastoreItem>
</file>

<file path=customXml/itemProps2.xml><?xml version="1.0" encoding="utf-8"?>
<ds:datastoreItem xmlns:ds="http://schemas.openxmlformats.org/officeDocument/2006/customXml" ds:itemID="{7BF1F627-B9AB-440A-9716-B95D7A20F1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0E657-8174-4508-B740-5CF435BE81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6DA7DE5-4640-428A-8486-6A0785E1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1228</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DVA</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REGULATION IMPACT STATEMENT: DEFENCE SERVICE HOMES INSURANCE SCHEME - ELECTION COMMITMENT TO EXPAND ELIGIBILITY</dc:subject>
  <dc:creator>Wong, Hee Tun</dc:creator>
  <cp:lastModifiedBy>Jodie</cp:lastModifiedBy>
  <cp:revision>6</cp:revision>
  <cp:lastPrinted>2019-08-30T03:52:00Z</cp:lastPrinted>
  <dcterms:created xsi:type="dcterms:W3CDTF">2019-08-30T01:13:00Z</dcterms:created>
  <dcterms:modified xsi:type="dcterms:W3CDTF">2019-12-06T03:58:00Z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dditionalInformation">
    <vt:lpwstr>Critical Date: 28 August 2019 to meet timeframes for amendments to the Defence Service Homes Act 1918</vt:lpwstr>
  </property>
  <property fmtid="{D5CDD505-2E9C-101B-9397-08002B2CF9AE}" pid="3" name="AdditionalSecurityInformation">
    <vt:lpwstr/>
  </property>
  <property fmtid="{D5CDD505-2E9C-101B-9397-08002B2CF9AE}" pid="4" name="ClearanceDueDate">
    <vt:lpwstr>28 August 2019</vt:lpwstr>
  </property>
  <property fmtid="{D5CDD505-2E9C-101B-9397-08002B2CF9AE}" pid="5" name="ContentTypeId">
    <vt:lpwstr>0x010100266966F133664895A6EE3632470D45F500BC13B9EC8CA90D499C7BCEAC378A7344</vt:lpwstr>
  </property>
  <property fmtid="{D5CDD505-2E9C-101B-9397-08002B2CF9AE}" pid="6" name="CustomDate">
    <vt:lpwstr/>
  </property>
  <property fmtid="{D5CDD505-2E9C-101B-9397-08002B2CF9AE}" pid="7" name="CustomDateName">
    <vt:lpwstr/>
  </property>
  <property fmtid="{D5CDD505-2E9C-101B-9397-08002B2CF9AE}" pid="8" name="Executives">
    <vt:lpwstr>Karen Pickering</vt:lpwstr>
  </property>
  <property fmtid="{D5CDD505-2E9C-101B-9397-08002B2CF9AE}" pid="9" name="GroupResponsible">
    <vt:lpwstr>CESS – Provider Engagement and Management Branch Support</vt:lpwstr>
  </property>
  <property fmtid="{D5CDD505-2E9C-101B-9397-08002B2CF9AE}" pid="10" name="HandlingProtocol">
    <vt:lpwstr>Standard</vt:lpwstr>
  </property>
  <property fmtid="{D5CDD505-2E9C-101B-9397-08002B2CF9AE}" pid="11" name="InformationExecutive">
    <vt:lpwstr> </vt:lpwstr>
  </property>
  <property fmtid="{D5CDD505-2E9C-101B-9397-08002B2CF9AE}" pid="12" name="InformationMinister">
    <vt:lpwstr> </vt:lpwstr>
  </property>
  <property fmtid="{D5CDD505-2E9C-101B-9397-08002B2CF9AE}" pid="13" name="InitiatorAddressBlock">
    <vt:lpwstr/>
  </property>
  <property fmtid="{D5CDD505-2E9C-101B-9397-08002B2CF9AE}" pid="14" name="InitiatorAddressLine1">
    <vt:lpwstr/>
  </property>
  <property fmtid="{D5CDD505-2E9C-101B-9397-08002B2CF9AE}" pid="15" name="InitiatorAddressLine1And2">
    <vt:lpwstr/>
  </property>
  <property fmtid="{D5CDD505-2E9C-101B-9397-08002B2CF9AE}" pid="16" name="InitiatorAddressLine2">
    <vt:lpwstr/>
  </property>
  <property fmtid="{D5CDD505-2E9C-101B-9397-08002B2CF9AE}" pid="17" name="InitiatorContactDate">
    <vt:lpwstr/>
  </property>
  <property fmtid="{D5CDD505-2E9C-101B-9397-08002B2CF9AE}" pid="18" name="InitiatorContactName">
    <vt:lpwstr/>
  </property>
  <property fmtid="{D5CDD505-2E9C-101B-9397-08002B2CF9AE}" pid="19" name="InitiatorContactPosition">
    <vt:lpwstr/>
  </property>
  <property fmtid="{D5CDD505-2E9C-101B-9397-08002B2CF9AE}" pid="20" name="InitiatorCountry">
    <vt:lpwstr/>
  </property>
  <property fmtid="{D5CDD505-2E9C-101B-9397-08002B2CF9AE}" pid="21" name="InitiatorEmail">
    <vt:lpwstr/>
  </property>
  <property fmtid="{D5CDD505-2E9C-101B-9397-08002B2CF9AE}" pid="22" name="InitiatorFax">
    <vt:lpwstr/>
  </property>
  <property fmtid="{D5CDD505-2E9C-101B-9397-08002B2CF9AE}" pid="23" name="InitiatorFirstName">
    <vt:lpwstr/>
  </property>
  <property fmtid="{D5CDD505-2E9C-101B-9397-08002B2CF9AE}" pid="24" name="InitiatorFormalTitle">
    <vt:lpwstr/>
  </property>
  <property fmtid="{D5CDD505-2E9C-101B-9397-08002B2CF9AE}" pid="25" name="InitiatorFullName">
    <vt:lpwstr/>
  </property>
  <property fmtid="{D5CDD505-2E9C-101B-9397-08002B2CF9AE}" pid="26" name="InitiatorLastName">
    <vt:lpwstr/>
  </property>
  <property fmtid="{D5CDD505-2E9C-101B-9397-08002B2CF9AE}" pid="27" name="InitiatorMobile">
    <vt:lpwstr/>
  </property>
  <property fmtid="{D5CDD505-2E9C-101B-9397-08002B2CF9AE}" pid="28" name="InitiatorMPElectorate">
    <vt:lpwstr/>
  </property>
  <property fmtid="{D5CDD505-2E9C-101B-9397-08002B2CF9AE}" pid="29" name="InitiatorMPState">
    <vt:lpwstr/>
  </property>
  <property fmtid="{D5CDD505-2E9C-101B-9397-08002B2CF9AE}" pid="30" name="InitiatorName">
    <vt:lpwstr/>
  </property>
  <property fmtid="{D5CDD505-2E9C-101B-9397-08002B2CF9AE}" pid="31" name="InitiatorOnBehalfVia">
    <vt:lpwstr/>
  </property>
  <property fmtid="{D5CDD505-2E9C-101B-9397-08002B2CF9AE}" pid="32" name="InitiatorOrganisation">
    <vt:lpwstr/>
  </property>
  <property fmtid="{D5CDD505-2E9C-101B-9397-08002B2CF9AE}" pid="33" name="InitiatorOrganisationContactInformation">
    <vt:lpwstr/>
  </property>
  <property fmtid="{D5CDD505-2E9C-101B-9397-08002B2CF9AE}" pid="34" name="InitiatorOrganisationType">
    <vt:lpwstr/>
  </property>
  <property fmtid="{D5CDD505-2E9C-101B-9397-08002B2CF9AE}" pid="35" name="InitiatorOrganisationWebsite">
    <vt:lpwstr/>
  </property>
  <property fmtid="{D5CDD505-2E9C-101B-9397-08002B2CF9AE}" pid="36" name="InitiatorParliamentaryTitle">
    <vt:lpwstr/>
  </property>
  <property fmtid="{D5CDD505-2E9C-101B-9397-08002B2CF9AE}" pid="37" name="InitiatorPhone">
    <vt:lpwstr/>
  </property>
  <property fmtid="{D5CDD505-2E9C-101B-9397-08002B2CF9AE}" pid="38" name="InitiatorPostCode">
    <vt:lpwstr/>
  </property>
  <property fmtid="{D5CDD505-2E9C-101B-9397-08002B2CF9AE}" pid="39" name="InitiatorPostNominal">
    <vt:lpwstr/>
  </property>
  <property fmtid="{D5CDD505-2E9C-101B-9397-08002B2CF9AE}" pid="40" name="InitiatorState">
    <vt:lpwstr/>
  </property>
  <property fmtid="{D5CDD505-2E9C-101B-9397-08002B2CF9AE}" pid="41" name="InitiatorSuburbOrCity">
    <vt:lpwstr/>
  </property>
  <property fmtid="{D5CDD505-2E9C-101B-9397-08002B2CF9AE}" pid="42" name="InitiatorSuburbStatePostcode">
    <vt:lpwstr/>
  </property>
  <property fmtid="{D5CDD505-2E9C-101B-9397-08002B2CF9AE}" pid="43" name="InitiatorTitle">
    <vt:lpwstr/>
  </property>
  <property fmtid="{D5CDD505-2E9C-101B-9397-08002B2CF9AE}" pid="44" name="InitiatorTitledFullName">
    <vt:lpwstr/>
  </property>
  <property fmtid="{D5CDD505-2E9C-101B-9397-08002B2CF9AE}" pid="45" name="Ministers">
    <vt:lpwstr/>
  </property>
  <property fmtid="{D5CDD505-2E9C-101B-9397-08002B2CF9AE}" pid="46" name="PdrId">
    <vt:lpwstr>EC19-001126</vt:lpwstr>
  </property>
  <property fmtid="{D5CDD505-2E9C-101B-9397-08002B2CF9AE}" pid="47" name="Principal">
    <vt:lpwstr>Departmental</vt:lpwstr>
  </property>
  <property fmtid="{D5CDD505-2E9C-101B-9397-08002B2CF9AE}" pid="48" name="ReasonForCreation">
    <vt:lpwstr>Other</vt:lpwstr>
  </property>
  <property fmtid="{D5CDD505-2E9C-101B-9397-08002B2CF9AE}" pid="49" name="ReasonForSensitivity">
    <vt:lpwstr/>
  </property>
  <property fmtid="{D5CDD505-2E9C-101B-9397-08002B2CF9AE}" pid="50" name="RegisteredDate">
    <vt:lpwstr>26 August 2019</vt:lpwstr>
  </property>
  <property fmtid="{D5CDD505-2E9C-101B-9397-08002B2CF9AE}" pid="51" name="RequestedExecutiveAction">
    <vt:lpwstr>Approval</vt:lpwstr>
  </property>
  <property fmtid="{D5CDD505-2E9C-101B-9397-08002B2CF9AE}" pid="52" name="RequestedSubmittedBy">
    <vt:lpwstr/>
  </property>
  <property fmtid="{D5CDD505-2E9C-101B-9397-08002B2CF9AE}" pid="53" name="ResponsibleExecutive">
    <vt:lpwstr>Karen Pickering</vt:lpwstr>
  </property>
  <property fmtid="{D5CDD505-2E9C-101B-9397-08002B2CF9AE}" pid="54" name="ResponsibleMinister">
    <vt:lpwstr> </vt:lpwstr>
  </property>
  <property fmtid="{D5CDD505-2E9C-101B-9397-08002B2CF9AE}" pid="55" name="SecurityClassification">
    <vt:lpwstr>OFFICIAL  </vt:lpwstr>
  </property>
  <property fmtid="{D5CDD505-2E9C-101B-9397-08002B2CF9AE}" pid="56" name="Subject">
    <vt:lpwstr>REGULATION IMPACT STATEMENT: DEFENCE SERVICE HOMES INSURANCE SCHEME - ELECTION COMMITMENT TO EXPAND ELIGIBILITY</vt:lpwstr>
  </property>
  <property fmtid="{D5CDD505-2E9C-101B-9397-08002B2CF9AE}" pid="57" name="Superseded">
    <vt:lpwstr>True</vt:lpwstr>
  </property>
  <property fmtid="{D5CDD505-2E9C-101B-9397-08002B2CF9AE}" pid="58" name="TaskSeqNo">
    <vt:lpwstr>0</vt:lpwstr>
  </property>
  <property fmtid="{D5CDD505-2E9C-101B-9397-08002B2CF9AE}" pid="59" name="TemplateSubType">
    <vt:lpwstr>Standard With Letter</vt:lpwstr>
  </property>
  <property fmtid="{D5CDD505-2E9C-101B-9397-08002B2CF9AE}" pid="60" name="TemplateType">
    <vt:lpwstr>Brief</vt:lpwstr>
  </property>
  <property fmtid="{D5CDD505-2E9C-101B-9397-08002B2CF9AE}" pid="61" name="TrustedGroups">
    <vt:lpwstr>Business Administrator, Limited Distribution EC</vt:lpwstr>
  </property>
</Properties>
</file>